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E0792A0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1564A1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974B1D">
        <w:rPr>
          <w:rFonts w:ascii="Rubik" w:hAnsi="Rubik" w:cs="Rubik"/>
          <w:sz w:val="20"/>
        </w:rPr>
        <w:t xml:space="preserve">535/2020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974B1D">
        <w:rPr>
          <w:rFonts w:ascii="Rubik" w:hAnsi="Rubik" w:cs="Rubik"/>
          <w:sz w:val="20"/>
        </w:rPr>
        <w:t xml:space="preserve">02.11.2020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974B1D">
        <w:rPr>
          <w:rFonts w:ascii="Rubik" w:hAnsi="Rubik" w:cs="Rubik"/>
          <w:sz w:val="20"/>
        </w:rPr>
        <w:t>88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 del </w:t>
      </w:r>
      <w:r w:rsidR="00974B1D">
        <w:rPr>
          <w:rFonts w:ascii="Rubik" w:hAnsi="Rubik" w:cs="Rubik"/>
          <w:sz w:val="20"/>
        </w:rPr>
        <w:t>10</w:t>
      </w:r>
      <w:r w:rsidR="001564A1">
        <w:rPr>
          <w:rFonts w:ascii="Rubik" w:hAnsi="Rubik" w:cs="Rubik"/>
          <w:sz w:val="20"/>
        </w:rPr>
        <w:t>.11.2020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6D314849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1564A1">
        <w:rPr>
          <w:rFonts w:ascii="Rubik" w:hAnsi="Rubik" w:cs="Rubik"/>
          <w:sz w:val="20"/>
        </w:rPr>
        <w:t>11/E4 – Diritto dell’Unione Europea</w:t>
      </w:r>
    </w:p>
    <w:p w14:paraId="4416D232" w14:textId="588094A9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1564A1">
        <w:rPr>
          <w:rFonts w:ascii="Rubik" w:hAnsi="Rubik" w:cs="Rubik"/>
          <w:sz w:val="20"/>
        </w:rPr>
        <w:t>IUS/14 – Diritto dell’Unione Europea</w:t>
      </w:r>
    </w:p>
    <w:p w14:paraId="3A8A9275" w14:textId="34D58F86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1564A1">
        <w:rPr>
          <w:rFonts w:ascii="Rubik" w:hAnsi="Rubik" w:cs="Rubik"/>
          <w:sz w:val="20"/>
        </w:rPr>
        <w:t>Giurisprudenza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564A1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74B1D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192</cp:revision>
  <cp:lastPrinted>2017-10-16T10:59:00Z</cp:lastPrinted>
  <dcterms:created xsi:type="dcterms:W3CDTF">2014-02-19T15:15:00Z</dcterms:created>
  <dcterms:modified xsi:type="dcterms:W3CDTF">2020-11-04T09:57:00Z</dcterms:modified>
</cp:coreProperties>
</file>