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1776" w14:textId="30E809CB" w:rsidR="00E40182" w:rsidRPr="00796373" w:rsidRDefault="00CC257A" w:rsidP="00E40182">
      <w:pPr>
        <w:spacing w:after="0"/>
        <w:jc w:val="center"/>
        <w:rPr>
          <w:rFonts w:ascii="Rubik" w:hAnsi="Rubik" w:cs="Rubik"/>
          <w:b/>
          <w:sz w:val="24"/>
          <w:szCs w:val="24"/>
        </w:rPr>
      </w:pPr>
      <w:r w:rsidRPr="00796373">
        <w:rPr>
          <w:rFonts w:ascii="Rubik" w:hAnsi="Rubik" w:cs="Rubik"/>
          <w:b/>
          <w:sz w:val="24"/>
          <w:szCs w:val="24"/>
        </w:rPr>
        <w:t>C</w:t>
      </w:r>
      <w:r w:rsidR="00647134" w:rsidRPr="00796373">
        <w:rPr>
          <w:rFonts w:ascii="Rubik" w:hAnsi="Rubik" w:cs="Rubik"/>
          <w:b/>
          <w:sz w:val="24"/>
          <w:szCs w:val="24"/>
        </w:rPr>
        <w:t>riteri per la formazione della graduatoria ai fini della selezione</w:t>
      </w:r>
      <w:r w:rsidR="00947C19" w:rsidRPr="00796373">
        <w:rPr>
          <w:rFonts w:ascii="Rubik" w:hAnsi="Rubik" w:cs="Rubik"/>
          <w:b/>
          <w:sz w:val="24"/>
          <w:szCs w:val="24"/>
        </w:rPr>
        <w:t xml:space="preserve"> Erasmus+</w:t>
      </w:r>
    </w:p>
    <w:p w14:paraId="7C2D3640" w14:textId="71AAD385" w:rsidR="006817E5" w:rsidRPr="00796373" w:rsidRDefault="006817E5" w:rsidP="0080660D">
      <w:pPr>
        <w:jc w:val="both"/>
        <w:rPr>
          <w:rFonts w:ascii="Rubik" w:hAnsi="Rubik" w:cs="Rubik"/>
          <w:b/>
          <w:sz w:val="20"/>
          <w:szCs w:val="20"/>
        </w:rPr>
      </w:pPr>
    </w:p>
    <w:p w14:paraId="4BDC7736" w14:textId="779AD489" w:rsidR="00806C78" w:rsidRPr="00796373" w:rsidRDefault="00806C78" w:rsidP="0080660D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La formula </w:t>
      </w:r>
      <w:r w:rsidR="00847E3A" w:rsidRPr="00796373">
        <w:rPr>
          <w:rFonts w:ascii="Rubik" w:hAnsi="Rubik" w:cs="Rubik"/>
          <w:sz w:val="20"/>
          <w:szCs w:val="20"/>
        </w:rPr>
        <w:t xml:space="preserve">matematica </w:t>
      </w:r>
      <w:r w:rsidR="00E00A51" w:rsidRPr="00796373">
        <w:rPr>
          <w:rFonts w:ascii="Rubik" w:hAnsi="Rubik" w:cs="Rubik"/>
          <w:sz w:val="20"/>
          <w:szCs w:val="20"/>
        </w:rPr>
        <w:t>è</w:t>
      </w:r>
      <w:r w:rsidRPr="00796373">
        <w:rPr>
          <w:rFonts w:ascii="Rubik" w:hAnsi="Rubik" w:cs="Rubik"/>
          <w:sz w:val="20"/>
          <w:szCs w:val="20"/>
        </w:rPr>
        <w:t xml:space="preserve"> applicata per il calcolo delle graduatorie di tutti i dipartimenti.</w:t>
      </w:r>
      <w:r w:rsidR="00847E3A" w:rsidRPr="00796373">
        <w:rPr>
          <w:rFonts w:ascii="Rubik" w:hAnsi="Rubik" w:cs="Rubik"/>
          <w:sz w:val="20"/>
          <w:szCs w:val="20"/>
        </w:rPr>
        <w:t xml:space="preserve"> </w:t>
      </w:r>
    </w:p>
    <w:p w14:paraId="6D8726EA" w14:textId="3F5F596C" w:rsidR="00676975" w:rsidRPr="00796373" w:rsidRDefault="0080660D" w:rsidP="0080660D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Ai fini della compilazione della graduatoria </w:t>
      </w:r>
      <w:r w:rsidR="007E5458" w:rsidRPr="00796373">
        <w:rPr>
          <w:rFonts w:ascii="Rubik" w:hAnsi="Rubik" w:cs="Rubik"/>
          <w:sz w:val="20"/>
          <w:szCs w:val="20"/>
        </w:rPr>
        <w:t>Erasmus</w:t>
      </w:r>
      <w:r w:rsidRPr="00796373">
        <w:rPr>
          <w:rFonts w:ascii="Rubik" w:hAnsi="Rubik" w:cs="Rubik"/>
          <w:sz w:val="20"/>
          <w:szCs w:val="20"/>
        </w:rPr>
        <w:t xml:space="preserve">+ </w:t>
      </w:r>
      <w:r w:rsidR="00CC257A" w:rsidRPr="00796373">
        <w:rPr>
          <w:rFonts w:ascii="Rubik" w:hAnsi="Rubik" w:cs="Rubik"/>
          <w:sz w:val="20"/>
          <w:szCs w:val="20"/>
        </w:rPr>
        <w:t xml:space="preserve">per </w:t>
      </w:r>
      <w:bookmarkStart w:id="0" w:name="_GoBack"/>
      <w:bookmarkEnd w:id="0"/>
      <w:r w:rsidR="00BA2262" w:rsidRPr="00796373">
        <w:rPr>
          <w:rFonts w:ascii="Rubik" w:hAnsi="Rubik" w:cs="Rubik"/>
          <w:sz w:val="20"/>
          <w:szCs w:val="20"/>
        </w:rPr>
        <w:t>studio, il</w:t>
      </w:r>
      <w:r w:rsidR="00592ADD" w:rsidRPr="00796373">
        <w:rPr>
          <w:rFonts w:ascii="Rubik" w:hAnsi="Rubik" w:cs="Rubik"/>
          <w:sz w:val="20"/>
          <w:szCs w:val="20"/>
        </w:rPr>
        <w:t xml:space="preserve"> punteggio </w:t>
      </w:r>
      <w:r w:rsidR="00592ADD" w:rsidRPr="00796373">
        <w:rPr>
          <w:rFonts w:ascii="Rubik" w:hAnsi="Rubik" w:cs="Rubik"/>
          <w:i/>
          <w:sz w:val="20"/>
          <w:szCs w:val="20"/>
        </w:rPr>
        <w:t>P</w:t>
      </w:r>
      <w:r w:rsidR="00E00A51" w:rsidRPr="00796373">
        <w:rPr>
          <w:rFonts w:ascii="Rubik" w:hAnsi="Rubik" w:cs="Rubik"/>
          <w:i/>
          <w:sz w:val="20"/>
          <w:szCs w:val="20"/>
        </w:rPr>
        <w:t xml:space="preserve"> è</w:t>
      </w:r>
      <w:r w:rsidR="00592ADD" w:rsidRPr="00796373">
        <w:rPr>
          <w:rFonts w:ascii="Rubik" w:hAnsi="Rubik" w:cs="Rubik"/>
          <w:sz w:val="20"/>
          <w:szCs w:val="20"/>
        </w:rPr>
        <w:t xml:space="preserve"> basato su</w:t>
      </w:r>
      <w:r w:rsidR="00167D97" w:rsidRPr="00796373">
        <w:rPr>
          <w:rFonts w:ascii="Rubik" w:hAnsi="Rubik" w:cs="Rubik"/>
          <w:sz w:val="20"/>
          <w:szCs w:val="20"/>
        </w:rPr>
        <w:t>i seguenti</w:t>
      </w:r>
      <w:r w:rsidRPr="00796373">
        <w:rPr>
          <w:rFonts w:ascii="Rubik" w:hAnsi="Rubik" w:cs="Rubik"/>
          <w:sz w:val="20"/>
          <w:szCs w:val="20"/>
        </w:rPr>
        <w:t xml:space="preserve"> due criteri: (1) i </w:t>
      </w:r>
      <w:r w:rsidRPr="00796373">
        <w:rPr>
          <w:rFonts w:ascii="Rubik" w:hAnsi="Rubik" w:cs="Rubik"/>
          <w:b/>
          <w:sz w:val="20"/>
          <w:szCs w:val="20"/>
        </w:rPr>
        <w:t>crediti</w:t>
      </w:r>
      <w:r w:rsidRPr="00796373">
        <w:rPr>
          <w:rFonts w:ascii="Rubik" w:hAnsi="Rubik" w:cs="Rubik"/>
          <w:sz w:val="20"/>
          <w:szCs w:val="20"/>
        </w:rPr>
        <w:t xml:space="preserve"> acquisiti in base agli anni di iscrizione e (2) la </w:t>
      </w:r>
      <w:r w:rsidRPr="00796373">
        <w:rPr>
          <w:rFonts w:ascii="Rubik" w:hAnsi="Rubik" w:cs="Rubik"/>
          <w:b/>
          <w:sz w:val="20"/>
          <w:szCs w:val="20"/>
        </w:rPr>
        <w:t>media</w:t>
      </w:r>
      <w:r w:rsidRPr="00796373">
        <w:rPr>
          <w:rFonts w:ascii="Rubik" w:hAnsi="Rubik" w:cs="Rubik"/>
          <w:sz w:val="20"/>
          <w:szCs w:val="20"/>
        </w:rPr>
        <w:t>.</w:t>
      </w:r>
    </w:p>
    <w:p w14:paraId="74ECCDF9" w14:textId="77777777" w:rsidR="0080660D" w:rsidRPr="00796373" w:rsidRDefault="00592ADD" w:rsidP="0080660D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I</w:t>
      </w:r>
      <w:r w:rsidR="00EF6E7D" w:rsidRPr="00796373">
        <w:rPr>
          <w:rFonts w:ascii="Rubik" w:hAnsi="Rubik" w:cs="Rubik"/>
          <w:sz w:val="20"/>
          <w:szCs w:val="20"/>
        </w:rPr>
        <w:t xml:space="preserve">l criterio (1) dei </w:t>
      </w:r>
      <w:r w:rsidR="00EF6E7D" w:rsidRPr="00796373">
        <w:rPr>
          <w:rFonts w:ascii="Rubik" w:hAnsi="Rubik" w:cs="Rubik"/>
          <w:b/>
          <w:sz w:val="20"/>
          <w:szCs w:val="20"/>
        </w:rPr>
        <w:t>crediti</w:t>
      </w:r>
      <w:r w:rsidR="0080660D" w:rsidRPr="00796373">
        <w:rPr>
          <w:rFonts w:ascii="Rubik" w:hAnsi="Rubik" w:cs="Rubik"/>
          <w:sz w:val="20"/>
          <w:szCs w:val="20"/>
        </w:rPr>
        <w:t xml:space="preserve"> </w:t>
      </w:r>
      <w:r w:rsidR="00EF6E7D" w:rsidRPr="00796373">
        <w:rPr>
          <w:rFonts w:ascii="Rubik" w:hAnsi="Rubik" w:cs="Rubik"/>
          <w:sz w:val="20"/>
          <w:szCs w:val="20"/>
        </w:rPr>
        <w:t>viene</w:t>
      </w:r>
      <w:r w:rsidR="0080660D" w:rsidRPr="00796373">
        <w:rPr>
          <w:rFonts w:ascii="Rubik" w:hAnsi="Rubik" w:cs="Rubik"/>
          <w:sz w:val="20"/>
          <w:szCs w:val="20"/>
        </w:rPr>
        <w:t xml:space="preserve"> </w:t>
      </w:r>
      <w:r w:rsidR="00EF6E7D" w:rsidRPr="00796373">
        <w:rPr>
          <w:rFonts w:ascii="Rubik" w:hAnsi="Rubik" w:cs="Rubik"/>
          <w:sz w:val="20"/>
          <w:szCs w:val="20"/>
        </w:rPr>
        <w:t>quantificato</w:t>
      </w:r>
      <w:r w:rsidR="0080660D" w:rsidRPr="00796373">
        <w:rPr>
          <w:rFonts w:ascii="Rubik" w:hAnsi="Rubik" w:cs="Rubik"/>
          <w:sz w:val="20"/>
          <w:szCs w:val="20"/>
        </w:rPr>
        <w:t xml:space="preserve"> nel modo seguente:</w:t>
      </w:r>
    </w:p>
    <w:p w14:paraId="5ED84259" w14:textId="77777777" w:rsidR="00277359" w:rsidRPr="00796373" w:rsidRDefault="00277359" w:rsidP="0080660D">
      <w:pPr>
        <w:jc w:val="both"/>
        <w:rPr>
          <w:rFonts w:ascii="Rubik" w:hAnsi="Rubik" w:cs="Rubik"/>
          <w:sz w:val="20"/>
          <w:szCs w:val="20"/>
        </w:rPr>
      </w:pPr>
    </w:p>
    <w:p w14:paraId="3BA6CA1C" w14:textId="3F4E77E2" w:rsidR="0080660D" w:rsidRPr="00796373" w:rsidRDefault="005675A7" w:rsidP="0080660D">
      <w:pPr>
        <w:pStyle w:val="Paragrafoelenco"/>
        <w:numPr>
          <w:ilvl w:val="0"/>
          <w:numId w:val="2"/>
        </w:numPr>
        <w:contextualSpacing w:val="0"/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Rubik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Rubik"/>
                    <w:sz w:val="20"/>
                    <w:szCs w:val="20"/>
                  </w:rPr>
                  <m:t>CFU</m:t>
                </m:r>
              </m:e>
              <m:sub>
                <m:r>
                  <w:rPr>
                    <w:rFonts w:ascii="Cambria Math" w:hAnsi="Cambria Math" w:cs="Rubik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Rubik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Rubik"/>
                    <w:sz w:val="20"/>
                    <w:szCs w:val="20"/>
                  </w:rPr>
                  <m:t>CFU</m:t>
                </m:r>
              </m:e>
              <m:sub>
                <m:r>
                  <w:rPr>
                    <w:rFonts w:ascii="Cambria Math" w:hAnsi="Cambria Math" w:cs="Rubik"/>
                    <w:sz w:val="20"/>
                    <w:szCs w:val="20"/>
                  </w:rPr>
                  <m:t>II</m:t>
                </m:r>
              </m:sub>
            </m:sSub>
          </m:num>
          <m:den>
            <m:r>
              <w:rPr>
                <w:rFonts w:ascii="Cambria Math" w:hAnsi="Cambria Math" w:cs="Rubik"/>
                <w:sz w:val="20"/>
                <w:szCs w:val="20"/>
              </w:rPr>
              <m:t>Anni di iscrizione-1</m:t>
            </m:r>
          </m:den>
        </m:f>
        <m:r>
          <w:rPr>
            <w:rFonts w:ascii="Cambria Math" w:eastAsiaTheme="minorEastAsia" w:hAnsi="Cambria Math" w:cs="Rubik"/>
            <w:sz w:val="20"/>
            <w:szCs w:val="20"/>
          </w:rPr>
          <m:t>*</m:t>
        </m:r>
        <m:f>
          <m:fPr>
            <m:ctrlPr>
              <w:rPr>
                <w:rFonts w:ascii="Cambria Math" w:eastAsiaTheme="minorEastAsia" w:hAnsi="Cambria Math" w:cs="Rubik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Rubik"/>
                <w:sz w:val="20"/>
                <w:szCs w:val="20"/>
              </w:rPr>
              <m:t>100</m:t>
            </m:r>
          </m:num>
          <m:den>
            <m:r>
              <w:rPr>
                <w:rFonts w:ascii="Cambria Math" w:eastAsiaTheme="minorEastAsia" w:hAnsi="Cambria Math" w:cs="Rubik"/>
                <w:sz w:val="20"/>
                <w:szCs w:val="20"/>
              </w:rPr>
              <m:t>60</m:t>
            </m:r>
          </m:den>
        </m:f>
      </m:oMath>
    </w:p>
    <w:p w14:paraId="08A4695E" w14:textId="77777777" w:rsidR="00241552" w:rsidRPr="00796373" w:rsidRDefault="00241552" w:rsidP="00592ADD">
      <w:pPr>
        <w:spacing w:after="0"/>
        <w:jc w:val="both"/>
        <w:rPr>
          <w:rFonts w:ascii="Rubik" w:hAnsi="Rubik" w:cs="Rubik"/>
          <w:sz w:val="20"/>
          <w:szCs w:val="20"/>
        </w:rPr>
      </w:pPr>
    </w:p>
    <w:p w14:paraId="266B02C8" w14:textId="3D917508" w:rsidR="00241552" w:rsidRPr="00796373" w:rsidRDefault="006C5682" w:rsidP="00241552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“</w:t>
      </w:r>
      <w:r w:rsidR="00241552" w:rsidRPr="00796373">
        <w:rPr>
          <w:rFonts w:ascii="Rubik" w:hAnsi="Rubik" w:cs="Rubik"/>
          <w:sz w:val="20"/>
          <w:szCs w:val="20"/>
        </w:rPr>
        <w:t>CFU</w:t>
      </w:r>
      <w:r w:rsidR="00241552" w:rsidRPr="00796373">
        <w:rPr>
          <w:rFonts w:ascii="Rubik" w:hAnsi="Rubik" w:cs="Rubik"/>
          <w:sz w:val="20"/>
          <w:szCs w:val="20"/>
          <w:vertAlign w:val="subscript"/>
        </w:rPr>
        <w:t>I</w:t>
      </w:r>
      <w:r w:rsidRPr="00796373">
        <w:rPr>
          <w:rFonts w:ascii="Rubik" w:hAnsi="Rubik" w:cs="Rubik"/>
          <w:sz w:val="20"/>
          <w:szCs w:val="20"/>
        </w:rPr>
        <w:t>”</w:t>
      </w:r>
      <w:r w:rsidR="00241552" w:rsidRPr="00796373">
        <w:rPr>
          <w:rFonts w:ascii="Rubik" w:hAnsi="Rubik" w:cs="Rubik"/>
          <w:sz w:val="20"/>
          <w:szCs w:val="20"/>
        </w:rPr>
        <w:t xml:space="preserve"> e </w:t>
      </w:r>
      <w:r w:rsidRPr="00796373">
        <w:rPr>
          <w:rFonts w:ascii="Rubik" w:hAnsi="Rubik" w:cs="Rubik"/>
          <w:sz w:val="20"/>
          <w:szCs w:val="20"/>
        </w:rPr>
        <w:t>“</w:t>
      </w:r>
      <w:r w:rsidR="00241552" w:rsidRPr="00796373">
        <w:rPr>
          <w:rFonts w:ascii="Rubik" w:hAnsi="Rubik" w:cs="Rubik"/>
          <w:sz w:val="20"/>
          <w:szCs w:val="20"/>
        </w:rPr>
        <w:t>CFU</w:t>
      </w:r>
      <w:r w:rsidR="00241552" w:rsidRPr="00796373">
        <w:rPr>
          <w:rFonts w:ascii="Rubik" w:hAnsi="Rubik" w:cs="Rubik"/>
          <w:sz w:val="20"/>
          <w:szCs w:val="20"/>
          <w:vertAlign w:val="subscript"/>
        </w:rPr>
        <w:t>II</w:t>
      </w:r>
      <w:r w:rsidRPr="00796373">
        <w:rPr>
          <w:rFonts w:ascii="Rubik" w:hAnsi="Rubik" w:cs="Rubik"/>
          <w:sz w:val="20"/>
          <w:szCs w:val="20"/>
        </w:rPr>
        <w:t>”</w:t>
      </w:r>
      <w:r w:rsidR="00241552" w:rsidRPr="00796373">
        <w:rPr>
          <w:rFonts w:ascii="Rubik" w:hAnsi="Rubik" w:cs="Rubik"/>
          <w:sz w:val="20"/>
          <w:szCs w:val="20"/>
          <w:vertAlign w:val="subscript"/>
        </w:rPr>
        <w:t xml:space="preserve"> </w:t>
      </w:r>
      <w:r w:rsidR="00241552" w:rsidRPr="00796373">
        <w:rPr>
          <w:rFonts w:ascii="Rubik" w:hAnsi="Rubik" w:cs="Rubik"/>
          <w:sz w:val="20"/>
          <w:szCs w:val="20"/>
        </w:rPr>
        <w:t xml:space="preserve">sono rispettivamente i crediti acquisiti nel primo e nel secondo livello di laurea e gli </w:t>
      </w:r>
      <w:r w:rsidR="00647134" w:rsidRPr="00796373">
        <w:rPr>
          <w:rFonts w:ascii="Rubik" w:hAnsi="Rubik" w:cs="Rubik"/>
          <w:sz w:val="20"/>
          <w:szCs w:val="20"/>
        </w:rPr>
        <w:t>“</w:t>
      </w:r>
      <w:r w:rsidR="00241552" w:rsidRPr="00796373">
        <w:rPr>
          <w:rFonts w:ascii="Rubik" w:hAnsi="Rubik" w:cs="Rubik"/>
          <w:sz w:val="20"/>
          <w:szCs w:val="20"/>
        </w:rPr>
        <w:t>Anni di iscrizione</w:t>
      </w:r>
      <w:r w:rsidR="00647134" w:rsidRPr="00796373">
        <w:rPr>
          <w:rFonts w:ascii="Rubik" w:hAnsi="Rubik" w:cs="Rubik"/>
          <w:sz w:val="20"/>
          <w:szCs w:val="20"/>
        </w:rPr>
        <w:t>”</w:t>
      </w:r>
      <w:r w:rsidR="00241552" w:rsidRPr="00796373">
        <w:rPr>
          <w:rFonts w:ascii="Rubik" w:hAnsi="Rubik" w:cs="Rubik"/>
          <w:sz w:val="20"/>
          <w:szCs w:val="20"/>
        </w:rPr>
        <w:t xml:space="preserve"> sono gli anni di iscrizione complessivi all’università. </w:t>
      </w:r>
      <w:r w:rsidR="00167D97" w:rsidRPr="00796373">
        <w:rPr>
          <w:rFonts w:ascii="Rubik" w:hAnsi="Rubik" w:cs="Rubik"/>
          <w:sz w:val="20"/>
          <w:szCs w:val="20"/>
        </w:rPr>
        <w:t>Viene inserito un</w:t>
      </w:r>
      <w:r w:rsidR="00241552" w:rsidRPr="00796373">
        <w:rPr>
          <w:rFonts w:ascii="Rubik" w:hAnsi="Rubik" w:cs="Rubik"/>
          <w:sz w:val="20"/>
          <w:szCs w:val="20"/>
        </w:rPr>
        <w:t xml:space="preserve"> fa</w:t>
      </w:r>
      <w:r w:rsidR="00167D97" w:rsidRPr="00796373">
        <w:rPr>
          <w:rFonts w:ascii="Rubik" w:hAnsi="Rubik" w:cs="Rubik"/>
          <w:sz w:val="20"/>
          <w:szCs w:val="20"/>
        </w:rPr>
        <w:t>ttore di correzione (-1) in quanto</w:t>
      </w:r>
      <w:r w:rsidR="00241552" w:rsidRPr="00796373">
        <w:rPr>
          <w:rFonts w:ascii="Rubik" w:hAnsi="Rubik" w:cs="Rubik"/>
          <w:sz w:val="20"/>
          <w:szCs w:val="20"/>
        </w:rPr>
        <w:t xml:space="preserve"> il bando </w:t>
      </w:r>
      <w:r w:rsidR="00167D97" w:rsidRPr="00796373">
        <w:rPr>
          <w:rFonts w:ascii="Rubik" w:hAnsi="Rubik" w:cs="Rubik"/>
          <w:sz w:val="20"/>
          <w:szCs w:val="20"/>
        </w:rPr>
        <w:t>Erasmus+ viene pubblicato</w:t>
      </w:r>
      <w:r w:rsidR="00DD3C2F" w:rsidRPr="00796373">
        <w:rPr>
          <w:rFonts w:ascii="Rubik" w:hAnsi="Rubik" w:cs="Rubik"/>
          <w:sz w:val="20"/>
          <w:szCs w:val="20"/>
        </w:rPr>
        <w:t xml:space="preserve"> al termine del primo semestre</w:t>
      </w:r>
      <w:r w:rsidR="00AD6E5F" w:rsidRPr="00796373">
        <w:rPr>
          <w:rFonts w:ascii="Rubik" w:hAnsi="Rubik" w:cs="Rubik"/>
          <w:sz w:val="20"/>
          <w:szCs w:val="20"/>
        </w:rPr>
        <w:t xml:space="preserve"> mentre gli esami registrati ai fini della graduatoria sono da considerarsi quelli sostenuti fino alla sessione di </w:t>
      </w:r>
      <w:r w:rsidR="00BC280B" w:rsidRPr="00796373">
        <w:rPr>
          <w:rFonts w:ascii="Rubik" w:hAnsi="Rubik" w:cs="Rubik"/>
          <w:sz w:val="20"/>
          <w:szCs w:val="20"/>
        </w:rPr>
        <w:t>novembre</w:t>
      </w:r>
      <w:r w:rsidR="00E00A51" w:rsidRPr="00796373">
        <w:rPr>
          <w:rFonts w:ascii="Rubik" w:hAnsi="Rubik" w:cs="Rubik"/>
          <w:sz w:val="20"/>
          <w:szCs w:val="20"/>
        </w:rPr>
        <w:t xml:space="preserve"> (30.11)</w:t>
      </w:r>
      <w:r w:rsidR="00AD6E5F" w:rsidRPr="00796373">
        <w:rPr>
          <w:rFonts w:ascii="Rubik" w:hAnsi="Rubik" w:cs="Rubik"/>
          <w:sz w:val="20"/>
          <w:szCs w:val="20"/>
        </w:rPr>
        <w:t xml:space="preserve"> dell’anno accademico precedente</w:t>
      </w:r>
      <w:r w:rsidR="00DD3C2F" w:rsidRPr="00796373">
        <w:rPr>
          <w:rFonts w:ascii="Rubik" w:hAnsi="Rubik" w:cs="Rubik"/>
          <w:sz w:val="20"/>
          <w:szCs w:val="20"/>
        </w:rPr>
        <w:t xml:space="preserve">. </w:t>
      </w:r>
      <w:r w:rsidR="006817E5" w:rsidRPr="00796373">
        <w:rPr>
          <w:rFonts w:ascii="Rubik" w:hAnsi="Rubik" w:cs="Rubik"/>
          <w:sz w:val="20"/>
          <w:szCs w:val="20"/>
        </w:rPr>
        <w:t xml:space="preserve">La variabile </w:t>
      </w:r>
      <m:oMath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1</m:t>
            </m:r>
          </m:sub>
        </m:sSub>
      </m:oMath>
      <w:r w:rsidR="006817E5" w:rsidRPr="00796373">
        <w:rPr>
          <w:rFonts w:ascii="Rubik" w:hAnsi="Rubik" w:cs="Rubik"/>
          <w:sz w:val="20"/>
          <w:szCs w:val="20"/>
        </w:rPr>
        <w:t xml:space="preserve"> quindi tiene conto dei crediti conseguiti annualmente dallo studente durante la su</w:t>
      </w:r>
      <w:r w:rsidR="005675A7" w:rsidRPr="00796373">
        <w:rPr>
          <w:rFonts w:ascii="Rubik" w:hAnsi="Rubik" w:cs="Rubik"/>
          <w:sz w:val="20"/>
          <w:szCs w:val="20"/>
        </w:rPr>
        <w:t xml:space="preserve">a intera carriera universitaria. Il fattore moltiplicativo 100/60 fa sì che sia </w:t>
      </w:r>
      <m:oMath>
        <m:r>
          <w:rPr>
            <w:rFonts w:ascii="Cambria Math" w:hAnsi="Cambria Math" w:cs="Rubik"/>
            <w:sz w:val="20"/>
            <w:szCs w:val="20"/>
          </w:rPr>
          <m:t>0≤</m:t>
        </m:r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Rubik"/>
            <w:sz w:val="20"/>
            <w:szCs w:val="20"/>
          </w:rPr>
          <m:t>≤100.</m:t>
        </m:r>
      </m:oMath>
    </w:p>
    <w:p w14:paraId="72567F01" w14:textId="59EA0106" w:rsidR="00241552" w:rsidRPr="00796373" w:rsidRDefault="005675A7" w:rsidP="00592ADD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Per gli studenti magistrali con laurea di primo livello conseguita all’estero</w:t>
      </w:r>
      <w:r w:rsidR="005348F1" w:rsidRPr="00796373">
        <w:rPr>
          <w:rFonts w:ascii="Rubik" w:hAnsi="Rubik" w:cs="Rubik"/>
          <w:sz w:val="20"/>
          <w:szCs w:val="20"/>
        </w:rPr>
        <w:t>,</w:t>
      </w:r>
      <w:r w:rsidR="00734D06" w:rsidRPr="00796373">
        <w:rPr>
          <w:rFonts w:ascii="Rubik" w:hAnsi="Rubik" w:cs="Rubik"/>
          <w:sz w:val="20"/>
          <w:szCs w:val="20"/>
        </w:rPr>
        <w:t xml:space="preserve"> si considera CFU</w:t>
      </w:r>
      <w:r w:rsidR="00734D06" w:rsidRPr="00796373">
        <w:rPr>
          <w:rFonts w:ascii="Rubik" w:hAnsi="Rubik" w:cs="Rubik"/>
          <w:sz w:val="20"/>
          <w:szCs w:val="20"/>
          <w:vertAlign w:val="subscript"/>
        </w:rPr>
        <w:t>I</w:t>
      </w:r>
      <w:r w:rsidR="00241552" w:rsidRPr="00796373">
        <w:rPr>
          <w:rFonts w:ascii="Rubik" w:hAnsi="Rubik" w:cs="Rubik"/>
          <w:sz w:val="20"/>
          <w:szCs w:val="20"/>
        </w:rPr>
        <w:t xml:space="preserve"> </w:t>
      </w:r>
      <w:r w:rsidR="00734D06" w:rsidRPr="00796373">
        <w:rPr>
          <w:rFonts w:ascii="Rubik" w:hAnsi="Rubik" w:cs="Rubik"/>
          <w:sz w:val="20"/>
          <w:szCs w:val="20"/>
        </w:rPr>
        <w:t>= 180</w:t>
      </w:r>
      <w:r w:rsidR="00241552" w:rsidRPr="00796373">
        <w:rPr>
          <w:rFonts w:ascii="Rubik" w:hAnsi="Rubik" w:cs="Rubik"/>
          <w:sz w:val="20"/>
          <w:szCs w:val="20"/>
        </w:rPr>
        <w:t xml:space="preserve"> </w:t>
      </w:r>
      <w:r w:rsidR="00167D97" w:rsidRPr="00796373">
        <w:rPr>
          <w:rFonts w:ascii="Rubik" w:hAnsi="Rubik" w:cs="Rubik"/>
          <w:sz w:val="20"/>
          <w:szCs w:val="20"/>
        </w:rPr>
        <w:t>e</w:t>
      </w:r>
      <w:r w:rsidR="00734D06" w:rsidRPr="00796373">
        <w:rPr>
          <w:rFonts w:ascii="Rubik" w:hAnsi="Rubik" w:cs="Rubik"/>
          <w:sz w:val="20"/>
          <w:szCs w:val="20"/>
        </w:rPr>
        <w:t>, ai fini del computo degli</w:t>
      </w:r>
      <w:r w:rsidR="006C5682" w:rsidRPr="00796373">
        <w:rPr>
          <w:rFonts w:ascii="Rubik" w:hAnsi="Rubik" w:cs="Rubik"/>
          <w:sz w:val="20"/>
          <w:szCs w:val="20"/>
        </w:rPr>
        <w:t xml:space="preserve"> “</w:t>
      </w:r>
      <w:r w:rsidR="00734D06" w:rsidRPr="00796373">
        <w:rPr>
          <w:rFonts w:ascii="Rubik" w:hAnsi="Rubik" w:cs="Rubik"/>
          <w:sz w:val="20"/>
          <w:szCs w:val="20"/>
        </w:rPr>
        <w:t>Anni di iscrizione</w:t>
      </w:r>
      <w:r w:rsidR="00647134" w:rsidRPr="00796373">
        <w:rPr>
          <w:rFonts w:ascii="Rubik" w:hAnsi="Rubik" w:cs="Rubik"/>
          <w:sz w:val="20"/>
          <w:szCs w:val="20"/>
        </w:rPr>
        <w:t>”</w:t>
      </w:r>
      <w:r w:rsidR="00734D06" w:rsidRPr="00796373">
        <w:rPr>
          <w:rFonts w:ascii="Rubik" w:hAnsi="Rubik" w:cs="Rubik"/>
          <w:sz w:val="20"/>
          <w:szCs w:val="20"/>
        </w:rPr>
        <w:t>, pari a 3 anni la durata della laurea di primo livello.</w:t>
      </w:r>
    </w:p>
    <w:p w14:paraId="7CB721D9" w14:textId="52C9E26A" w:rsidR="00BC280B" w:rsidRPr="00796373" w:rsidRDefault="00BC280B" w:rsidP="00592ADD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Per eventuali studenti </w:t>
      </w:r>
      <w:r w:rsidR="009B074E" w:rsidRPr="00796373">
        <w:rPr>
          <w:rFonts w:ascii="Rubik" w:hAnsi="Rubik" w:cs="Rubik"/>
          <w:sz w:val="20"/>
          <w:szCs w:val="20"/>
        </w:rPr>
        <w:t>iscritti al</w:t>
      </w:r>
      <w:r w:rsidRPr="00796373">
        <w:rPr>
          <w:rFonts w:ascii="Rubik" w:hAnsi="Rubik" w:cs="Rubik"/>
          <w:sz w:val="20"/>
          <w:szCs w:val="20"/>
        </w:rPr>
        <w:t xml:space="preserve"> primo anno</w:t>
      </w:r>
      <w:r w:rsidR="009B074E" w:rsidRPr="00796373">
        <w:rPr>
          <w:rFonts w:ascii="Rubik" w:hAnsi="Rubik" w:cs="Rubik"/>
          <w:sz w:val="20"/>
          <w:szCs w:val="20"/>
        </w:rPr>
        <w:t xml:space="preserve"> della laurea di I livello</w:t>
      </w:r>
      <w:r w:rsidRPr="00796373">
        <w:rPr>
          <w:rFonts w:ascii="Rubik" w:hAnsi="Rubik" w:cs="Rubik"/>
          <w:sz w:val="20"/>
          <w:szCs w:val="20"/>
        </w:rPr>
        <w:t xml:space="preserve">, con partenza in Erasmus al secondo anno, si pone </w:t>
      </w:r>
      <m:oMath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1</m:t>
            </m:r>
          </m:sub>
        </m:sSub>
      </m:oMath>
      <w:r w:rsidRPr="00796373">
        <w:rPr>
          <w:rFonts w:ascii="Rubik" w:hAnsi="Rubik" w:cs="Rubik"/>
          <w:sz w:val="20"/>
          <w:szCs w:val="20"/>
        </w:rPr>
        <w:t>=50.</w:t>
      </w:r>
    </w:p>
    <w:p w14:paraId="7B534D15" w14:textId="77777777" w:rsidR="006817E5" w:rsidRPr="00796373" w:rsidRDefault="006817E5" w:rsidP="006817E5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Il criterio (2) della </w:t>
      </w:r>
      <w:r w:rsidRPr="00796373">
        <w:rPr>
          <w:rFonts w:ascii="Rubik" w:hAnsi="Rubik" w:cs="Rubik"/>
          <w:b/>
          <w:sz w:val="20"/>
          <w:szCs w:val="20"/>
        </w:rPr>
        <w:t>media</w:t>
      </w:r>
      <w:r w:rsidRPr="00796373">
        <w:rPr>
          <w:rFonts w:ascii="Rubik" w:hAnsi="Rubik" w:cs="Rubik"/>
          <w:sz w:val="20"/>
          <w:szCs w:val="20"/>
        </w:rPr>
        <w:t xml:space="preserve"> viene quantificato nel modo seguente:</w:t>
      </w:r>
    </w:p>
    <w:p w14:paraId="44CCE4F7" w14:textId="77777777" w:rsidR="007F5B78" w:rsidRPr="00796373" w:rsidRDefault="007F5B78" w:rsidP="006817E5">
      <w:pPr>
        <w:jc w:val="both"/>
        <w:rPr>
          <w:rFonts w:ascii="Rubik" w:hAnsi="Rubik" w:cs="Rubik"/>
          <w:sz w:val="20"/>
          <w:szCs w:val="20"/>
        </w:rPr>
      </w:pPr>
    </w:p>
    <w:p w14:paraId="45C12B6B" w14:textId="77777777" w:rsidR="00241552" w:rsidRPr="00796373" w:rsidRDefault="00241552" w:rsidP="006817E5">
      <w:pPr>
        <w:pStyle w:val="Paragrafoelenco"/>
        <w:numPr>
          <w:ilvl w:val="0"/>
          <w:numId w:val="2"/>
        </w:numPr>
        <w:spacing w:before="240"/>
        <w:contextualSpacing w:val="0"/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eastAsiaTheme="minorEastAsia" w:hAnsi="Rubik" w:cs="Rubik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="Rubik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Rubik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Theme="minorEastAsia" w:hAnsi="Cambria Math" w:cs="Rubik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Rubik"/>
                <w:sz w:val="20"/>
                <w:szCs w:val="20"/>
              </w:rPr>
              <m:t>Media-18</m:t>
            </m:r>
          </m:num>
          <m:den>
            <m:r>
              <w:rPr>
                <w:rFonts w:ascii="Cambria Math" w:eastAsiaTheme="minorEastAsia" w:hAnsi="Cambria Math" w:cs="Rubik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 w:cs="Rubik"/>
            <w:sz w:val="20"/>
            <w:szCs w:val="20"/>
          </w:rPr>
          <m:t>*100</m:t>
        </m:r>
      </m:oMath>
      <w:r w:rsidR="006817E5" w:rsidRPr="00796373">
        <w:rPr>
          <w:rFonts w:ascii="Rubik" w:eastAsiaTheme="minorEastAsia" w:hAnsi="Rubik" w:cs="Rubik"/>
          <w:sz w:val="20"/>
          <w:szCs w:val="20"/>
        </w:rPr>
        <w:t xml:space="preserve">      con </w:t>
      </w:r>
      <w:r w:rsidRPr="00796373">
        <w:rPr>
          <w:rFonts w:ascii="Rubik" w:eastAsiaTheme="minorEastAsia" w:hAnsi="Rubik" w:cs="Rubik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Rubik"/>
            <w:sz w:val="20"/>
            <w:szCs w:val="20"/>
          </w:rPr>
          <m:t xml:space="preserve">Media= </m:t>
        </m:r>
        <m:f>
          <m:fPr>
            <m:ctrlPr>
              <w:rPr>
                <w:rFonts w:ascii="Cambria Math" w:eastAsiaTheme="minorEastAsia" w:hAnsi="Cambria Math" w:cs="Rubik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Media</m:t>
                </m:r>
              </m:e>
              <m:sub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Rubik"/>
                <w:sz w:val="20"/>
                <w:szCs w:val="20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CFU</m:t>
                </m:r>
              </m:e>
              <m:sub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Rubik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Media</m:t>
                </m:r>
              </m:e>
              <m:sub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II</m:t>
                </m:r>
              </m:sub>
            </m:sSub>
            <m:r>
              <w:rPr>
                <w:rFonts w:ascii="Cambria Math" w:eastAsiaTheme="minorEastAsia" w:hAnsi="Cambria Math" w:cs="Rubik"/>
                <w:sz w:val="20"/>
                <w:szCs w:val="20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CFU</m:t>
                </m:r>
              </m:e>
              <m:sub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II</m:t>
                </m:r>
              </m:sub>
            </m:sSub>
            <m:r>
              <w:rPr>
                <w:rFonts w:ascii="Cambria Math" w:eastAsiaTheme="minorEastAsia" w:hAnsi="Cambria Math" w:cs="Rubik"/>
                <w:sz w:val="20"/>
                <w:szCs w:val="2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CFU</m:t>
                </m:r>
              </m:e>
              <m:sub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Rubik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Rubik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CFU</m:t>
                </m:r>
              </m:e>
              <m:sub>
                <m:r>
                  <w:rPr>
                    <w:rFonts w:ascii="Cambria Math" w:eastAsiaTheme="minorEastAsia" w:hAnsi="Cambria Math" w:cs="Rubik"/>
                    <w:sz w:val="20"/>
                    <w:szCs w:val="20"/>
                  </w:rPr>
                  <m:t>II</m:t>
                </m:r>
              </m:sub>
            </m:sSub>
            <m:r>
              <w:rPr>
                <w:rFonts w:ascii="Cambria Math" w:eastAsiaTheme="minorEastAsia" w:hAnsi="Cambria Math" w:cs="Rubik"/>
                <w:sz w:val="20"/>
                <w:szCs w:val="20"/>
              </w:rPr>
              <m:t xml:space="preserve"> </m:t>
            </m:r>
          </m:den>
        </m:f>
      </m:oMath>
    </w:p>
    <w:p w14:paraId="1EAB8D67" w14:textId="77777777" w:rsidR="002F25BC" w:rsidRPr="00796373" w:rsidRDefault="002F25BC" w:rsidP="002F25BC">
      <w:pPr>
        <w:pStyle w:val="Paragrafoelenco"/>
        <w:spacing w:after="0"/>
        <w:ind w:left="0"/>
        <w:jc w:val="both"/>
        <w:rPr>
          <w:rFonts w:ascii="Rubik" w:hAnsi="Rubik" w:cs="Rubik"/>
          <w:sz w:val="20"/>
          <w:szCs w:val="20"/>
        </w:rPr>
      </w:pPr>
    </w:p>
    <w:p w14:paraId="365C609D" w14:textId="1EDE26E3" w:rsidR="00592ADD" w:rsidRPr="00796373" w:rsidRDefault="002F25BC" w:rsidP="002F25BC">
      <w:pPr>
        <w:pStyle w:val="Paragrafoelenco"/>
        <w:spacing w:after="0"/>
        <w:ind w:left="0"/>
        <w:contextualSpacing w:val="0"/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d</w:t>
      </w:r>
      <w:r w:rsidR="00592ADD" w:rsidRPr="00796373">
        <w:rPr>
          <w:rFonts w:ascii="Rubik" w:hAnsi="Rubik" w:cs="Rubik"/>
          <w:sz w:val="20"/>
          <w:szCs w:val="20"/>
        </w:rPr>
        <w:t xml:space="preserve">ove </w:t>
      </w:r>
      <w:r w:rsidR="00647134" w:rsidRPr="00796373">
        <w:rPr>
          <w:rFonts w:ascii="Rubik" w:hAnsi="Rubik" w:cs="Rubik"/>
          <w:sz w:val="20"/>
          <w:szCs w:val="20"/>
        </w:rPr>
        <w:t>“</w:t>
      </w:r>
      <w:proofErr w:type="spellStart"/>
      <w:r w:rsidR="00592ADD" w:rsidRPr="00796373">
        <w:rPr>
          <w:rFonts w:ascii="Rubik" w:hAnsi="Rubik" w:cs="Rubik"/>
          <w:sz w:val="20"/>
          <w:szCs w:val="20"/>
        </w:rPr>
        <w:t>Media</w:t>
      </w:r>
      <w:r w:rsidR="00592ADD" w:rsidRPr="00796373">
        <w:rPr>
          <w:rFonts w:ascii="Rubik" w:hAnsi="Rubik" w:cs="Rubik"/>
          <w:sz w:val="20"/>
          <w:szCs w:val="20"/>
          <w:vertAlign w:val="subscript"/>
        </w:rPr>
        <w:t>I</w:t>
      </w:r>
      <w:proofErr w:type="spellEnd"/>
      <w:r w:rsidR="00647134" w:rsidRPr="00796373">
        <w:rPr>
          <w:rFonts w:ascii="Rubik" w:hAnsi="Rubik" w:cs="Rubik"/>
          <w:sz w:val="20"/>
          <w:szCs w:val="20"/>
        </w:rPr>
        <w:t>”</w:t>
      </w:r>
      <w:r w:rsidR="00592ADD" w:rsidRPr="00796373">
        <w:rPr>
          <w:rFonts w:ascii="Rubik" w:hAnsi="Rubik" w:cs="Rubik"/>
          <w:sz w:val="20"/>
          <w:szCs w:val="20"/>
        </w:rPr>
        <w:t xml:space="preserve"> e </w:t>
      </w:r>
      <w:r w:rsidR="00647134" w:rsidRPr="00796373">
        <w:rPr>
          <w:rFonts w:ascii="Rubik" w:hAnsi="Rubik" w:cs="Rubik"/>
          <w:sz w:val="20"/>
          <w:szCs w:val="20"/>
        </w:rPr>
        <w:t>“</w:t>
      </w:r>
      <w:proofErr w:type="spellStart"/>
      <w:r w:rsidR="00592ADD" w:rsidRPr="00796373">
        <w:rPr>
          <w:rFonts w:ascii="Rubik" w:hAnsi="Rubik" w:cs="Rubik"/>
          <w:sz w:val="20"/>
          <w:szCs w:val="20"/>
        </w:rPr>
        <w:t>Media</w:t>
      </w:r>
      <w:r w:rsidR="00592ADD" w:rsidRPr="00796373">
        <w:rPr>
          <w:rFonts w:ascii="Rubik" w:hAnsi="Rubik" w:cs="Rubik"/>
          <w:sz w:val="20"/>
          <w:szCs w:val="20"/>
          <w:vertAlign w:val="subscript"/>
        </w:rPr>
        <w:t>II</w:t>
      </w:r>
      <w:proofErr w:type="spellEnd"/>
      <w:r w:rsidR="00647134" w:rsidRPr="00796373">
        <w:rPr>
          <w:rFonts w:ascii="Rubik" w:hAnsi="Rubik" w:cs="Rubik"/>
          <w:sz w:val="20"/>
          <w:szCs w:val="20"/>
        </w:rPr>
        <w:t>”</w:t>
      </w:r>
      <w:r w:rsidR="00592ADD" w:rsidRPr="00796373">
        <w:rPr>
          <w:rFonts w:ascii="Rubik" w:hAnsi="Rubik" w:cs="Rubik"/>
          <w:sz w:val="20"/>
          <w:szCs w:val="20"/>
        </w:rPr>
        <w:t xml:space="preserve"> sono rispettivamente la media conseguita durante il primo e il secondo livello di laurea.</w:t>
      </w:r>
    </w:p>
    <w:p w14:paraId="10F349B8" w14:textId="77777777" w:rsidR="00B06211" w:rsidRPr="00796373" w:rsidRDefault="00592ADD" w:rsidP="00B06211">
      <w:pPr>
        <w:pStyle w:val="Paragrafoelenco"/>
        <w:spacing w:before="240"/>
        <w:ind w:left="0"/>
        <w:contextualSpacing w:val="0"/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P</w:t>
      </w:r>
      <w:r w:rsidR="00B06211" w:rsidRPr="00796373">
        <w:rPr>
          <w:rFonts w:ascii="Rubik" w:hAnsi="Rubik" w:cs="Rubik"/>
          <w:sz w:val="20"/>
          <w:szCs w:val="20"/>
        </w:rPr>
        <w:t>er gli studenti magistrali, vale:</w:t>
      </w:r>
    </w:p>
    <w:p w14:paraId="585504FE" w14:textId="77777777" w:rsidR="00A933C9" w:rsidRPr="00796373" w:rsidRDefault="00A933C9" w:rsidP="00B06211">
      <w:pPr>
        <w:pStyle w:val="Paragrafoelenco"/>
        <w:spacing w:before="240"/>
        <w:ind w:left="0"/>
        <w:contextualSpacing w:val="0"/>
        <w:jc w:val="both"/>
        <w:rPr>
          <w:rFonts w:ascii="Rubik" w:hAnsi="Rubik" w:cs="Rubik"/>
          <w:sz w:val="20"/>
          <w:szCs w:val="20"/>
        </w:rPr>
      </w:pPr>
    </w:p>
    <w:p w14:paraId="605FD3C9" w14:textId="77777777" w:rsidR="00EF6E7D" w:rsidRPr="00796373" w:rsidRDefault="00BA2262" w:rsidP="00EF6E7D">
      <w:pPr>
        <w:pStyle w:val="Paragrafoelenco"/>
        <w:spacing w:before="240"/>
        <w:contextualSpacing w:val="0"/>
        <w:jc w:val="both"/>
        <w:rPr>
          <w:rFonts w:ascii="Rubik" w:eastAsiaTheme="minorEastAsia" w:hAnsi="Rubik" w:cs="Rubik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Rubik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Rubik"/>
                  <w:sz w:val="20"/>
                  <w:szCs w:val="20"/>
                </w:rPr>
                <m:t>Media</m:t>
              </m:r>
            </m:e>
            <m:sub>
              <m:r>
                <w:rPr>
                  <w:rFonts w:ascii="Cambria Math" w:hAnsi="Cambria Math" w:cs="Rubik"/>
                  <w:sz w:val="20"/>
                  <w:szCs w:val="20"/>
                </w:rPr>
                <m:t xml:space="preserve">I </m:t>
              </m:r>
            </m:sub>
          </m:sSub>
          <m:r>
            <w:rPr>
              <w:rFonts w:ascii="Cambria Math" w:hAnsi="Cambria Math" w:cs="Rubik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Rubik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Rubik"/>
                  <w:sz w:val="20"/>
                  <w:szCs w:val="20"/>
                </w:rPr>
                <m:t>Punteggio di laurea di I livello</m:t>
              </m:r>
            </m:num>
            <m:den>
              <m:r>
                <w:rPr>
                  <w:rFonts w:ascii="Cambria Math" w:hAnsi="Cambria Math" w:cs="Rubik"/>
                  <w:sz w:val="20"/>
                  <w:szCs w:val="20"/>
                </w:rPr>
                <m:t>110</m:t>
              </m:r>
            </m:den>
          </m:f>
          <m:r>
            <w:rPr>
              <w:rFonts w:ascii="Cambria Math" w:eastAsiaTheme="minorEastAsia" w:hAnsi="Cambria Math" w:cs="Rubik"/>
              <w:sz w:val="20"/>
              <w:szCs w:val="20"/>
            </w:rPr>
            <m:t>*30</m:t>
          </m:r>
        </m:oMath>
      </m:oMathPara>
    </w:p>
    <w:p w14:paraId="574CABD9" w14:textId="77777777" w:rsidR="002F25BC" w:rsidRPr="00796373" w:rsidRDefault="002F25BC" w:rsidP="002F25BC">
      <w:pPr>
        <w:pStyle w:val="Paragrafoelenco"/>
        <w:spacing w:after="0"/>
        <w:ind w:left="0"/>
        <w:jc w:val="both"/>
        <w:rPr>
          <w:rFonts w:ascii="Rubik" w:hAnsi="Rubik" w:cs="Rubik"/>
          <w:sz w:val="20"/>
          <w:szCs w:val="20"/>
        </w:rPr>
      </w:pPr>
    </w:p>
    <w:p w14:paraId="45AC7C5E" w14:textId="64A1121D" w:rsidR="00BC280B" w:rsidRPr="00796373" w:rsidRDefault="005348F1" w:rsidP="00B06211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P</w:t>
      </w:r>
      <w:r w:rsidR="00B06211" w:rsidRPr="00796373">
        <w:rPr>
          <w:rFonts w:ascii="Rubik" w:hAnsi="Rubik" w:cs="Rubik"/>
          <w:sz w:val="20"/>
          <w:szCs w:val="20"/>
        </w:rPr>
        <w:t xml:space="preserve">er gli studenti magistrali con laurea di primo livello conseguita all’estero, la variabile </w:t>
      </w:r>
      <w:r w:rsidR="00647134" w:rsidRPr="00796373">
        <w:rPr>
          <w:rFonts w:ascii="Rubik" w:hAnsi="Rubik" w:cs="Rubik"/>
          <w:sz w:val="20"/>
          <w:szCs w:val="20"/>
        </w:rPr>
        <w:t>“</w:t>
      </w:r>
      <w:proofErr w:type="spellStart"/>
      <w:proofErr w:type="gramStart"/>
      <w:r w:rsidR="00B06211" w:rsidRPr="00796373">
        <w:rPr>
          <w:rFonts w:ascii="Rubik" w:hAnsi="Rubik" w:cs="Rubik"/>
          <w:sz w:val="20"/>
          <w:szCs w:val="20"/>
        </w:rPr>
        <w:t>Media</w:t>
      </w:r>
      <w:r w:rsidR="00B06211" w:rsidRPr="00796373">
        <w:rPr>
          <w:rFonts w:ascii="Rubik" w:hAnsi="Rubik" w:cs="Rubik"/>
          <w:sz w:val="20"/>
          <w:szCs w:val="20"/>
          <w:vertAlign w:val="subscript"/>
        </w:rPr>
        <w:t>I</w:t>
      </w:r>
      <w:proofErr w:type="spellEnd"/>
      <w:r w:rsidR="00647134" w:rsidRPr="00796373">
        <w:rPr>
          <w:rFonts w:ascii="Rubik" w:hAnsi="Rubik" w:cs="Rubik"/>
          <w:sz w:val="20"/>
          <w:szCs w:val="20"/>
        </w:rPr>
        <w:t xml:space="preserve">“ </w:t>
      </w:r>
      <w:r w:rsidR="00B06211" w:rsidRPr="00796373">
        <w:rPr>
          <w:rFonts w:ascii="Rubik" w:hAnsi="Rubik" w:cs="Rubik"/>
          <w:sz w:val="20"/>
          <w:szCs w:val="20"/>
        </w:rPr>
        <w:t>viene</w:t>
      </w:r>
      <w:proofErr w:type="gramEnd"/>
      <w:r w:rsidR="00B06211" w:rsidRPr="00796373">
        <w:rPr>
          <w:rFonts w:ascii="Rubik" w:hAnsi="Rubik" w:cs="Rubik"/>
          <w:sz w:val="20"/>
          <w:szCs w:val="20"/>
        </w:rPr>
        <w:t xml:space="preserve"> calcolata in base al massimo voto di laurea ottenibile nello Stato in cui essa è stata conseguita. </w:t>
      </w:r>
    </w:p>
    <w:p w14:paraId="016981DD" w14:textId="45828D77" w:rsidR="00BC280B" w:rsidRPr="00796373" w:rsidRDefault="009B074E" w:rsidP="00B06211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Per eventuali studenti iscritti al primo anno della laurea di I livello</w:t>
      </w:r>
      <w:r w:rsidR="00BC280B" w:rsidRPr="00796373">
        <w:rPr>
          <w:rFonts w:ascii="Rubik" w:hAnsi="Rubik" w:cs="Rubik"/>
          <w:sz w:val="20"/>
          <w:szCs w:val="20"/>
        </w:rPr>
        <w:t xml:space="preserve">, con partenza in Erasmus al secondo anno, la </w:t>
      </w:r>
      <w:r w:rsidR="00647134" w:rsidRPr="00796373">
        <w:rPr>
          <w:rFonts w:ascii="Rubik" w:hAnsi="Rubik" w:cs="Rubik"/>
          <w:sz w:val="20"/>
          <w:szCs w:val="20"/>
        </w:rPr>
        <w:t>“</w:t>
      </w:r>
      <w:proofErr w:type="gramStart"/>
      <w:r w:rsidR="00BC280B" w:rsidRPr="00796373">
        <w:rPr>
          <w:rFonts w:ascii="Rubik" w:hAnsi="Rubik" w:cs="Rubik"/>
          <w:sz w:val="20"/>
          <w:szCs w:val="20"/>
        </w:rPr>
        <w:t>Media</w:t>
      </w:r>
      <w:r w:rsidR="00BC280B" w:rsidRPr="00796373">
        <w:rPr>
          <w:rFonts w:ascii="Rubik" w:hAnsi="Rubik" w:cs="Rubik"/>
          <w:sz w:val="20"/>
          <w:szCs w:val="20"/>
          <w:vertAlign w:val="subscript"/>
        </w:rPr>
        <w:t>i</w:t>
      </w:r>
      <w:r w:rsidR="00647134" w:rsidRPr="00796373">
        <w:rPr>
          <w:rFonts w:ascii="Rubik" w:hAnsi="Rubik" w:cs="Rubik"/>
          <w:sz w:val="20"/>
          <w:szCs w:val="20"/>
        </w:rPr>
        <w:t xml:space="preserve">“ </w:t>
      </w:r>
      <w:r w:rsidR="00BC280B" w:rsidRPr="00796373">
        <w:rPr>
          <w:rFonts w:ascii="Rubik" w:hAnsi="Rubik" w:cs="Rubik"/>
          <w:sz w:val="20"/>
          <w:szCs w:val="20"/>
        </w:rPr>
        <w:t>è</w:t>
      </w:r>
      <w:proofErr w:type="gramEnd"/>
      <w:r w:rsidR="00BC280B" w:rsidRPr="00796373">
        <w:rPr>
          <w:rFonts w:ascii="Rubik" w:hAnsi="Rubik" w:cs="Rubik"/>
          <w:sz w:val="20"/>
          <w:szCs w:val="20"/>
        </w:rPr>
        <w:t xml:space="preserve"> pari al punteggio ottenuto nel test d</w:t>
      </w:r>
      <w:r w:rsidR="00647134" w:rsidRPr="00796373">
        <w:rPr>
          <w:rFonts w:ascii="Rubik" w:hAnsi="Rubik" w:cs="Rubik"/>
          <w:sz w:val="20"/>
          <w:szCs w:val="20"/>
        </w:rPr>
        <w:t>’ingresso (normalizzato a 100) oppure</w:t>
      </w:r>
      <w:r w:rsidR="00BC280B" w:rsidRPr="00796373">
        <w:rPr>
          <w:rFonts w:ascii="Rubik" w:hAnsi="Rubik" w:cs="Rubik"/>
          <w:sz w:val="20"/>
          <w:szCs w:val="20"/>
        </w:rPr>
        <w:t xml:space="preserve">, nel caso in cui </w:t>
      </w:r>
      <w:r w:rsidR="00647134" w:rsidRPr="00796373">
        <w:rPr>
          <w:rFonts w:ascii="Rubik" w:hAnsi="Rubik" w:cs="Rubik"/>
          <w:sz w:val="20"/>
          <w:szCs w:val="20"/>
        </w:rPr>
        <w:t xml:space="preserve">ciò </w:t>
      </w:r>
      <w:r w:rsidR="00BC280B" w:rsidRPr="00796373">
        <w:rPr>
          <w:rFonts w:ascii="Rubik" w:hAnsi="Rubik" w:cs="Rubik"/>
          <w:sz w:val="20"/>
          <w:szCs w:val="20"/>
        </w:rPr>
        <w:t>non fosse disponibile, al punteggio ottenuto nell’esame di maturità.</w:t>
      </w:r>
    </w:p>
    <w:p w14:paraId="336977E7" w14:textId="052BEE81" w:rsidR="00B06211" w:rsidRPr="00796373" w:rsidRDefault="00DD3C2F" w:rsidP="00B06211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La variabile </w:t>
      </w:r>
      <m:oMath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2</m:t>
            </m:r>
          </m:sub>
        </m:sSub>
      </m:oMath>
      <w:r w:rsidRPr="00796373">
        <w:rPr>
          <w:rFonts w:ascii="Rubik" w:eastAsiaTheme="minorEastAsia" w:hAnsi="Rubik" w:cs="Rubik"/>
          <w:sz w:val="20"/>
          <w:szCs w:val="20"/>
        </w:rPr>
        <w:t xml:space="preserve"> quindi tiene conto della media </w:t>
      </w:r>
      <w:r w:rsidR="00592ADD" w:rsidRPr="00796373">
        <w:rPr>
          <w:rFonts w:ascii="Rubik" w:eastAsiaTheme="minorEastAsia" w:hAnsi="Rubik" w:cs="Rubik"/>
          <w:sz w:val="20"/>
          <w:szCs w:val="20"/>
        </w:rPr>
        <w:t xml:space="preserve">conseguita dallo studente </w:t>
      </w:r>
      <w:r w:rsidRPr="00796373">
        <w:rPr>
          <w:rFonts w:ascii="Rubik" w:eastAsiaTheme="minorEastAsia" w:hAnsi="Rubik" w:cs="Rubik"/>
          <w:sz w:val="20"/>
          <w:szCs w:val="20"/>
        </w:rPr>
        <w:t xml:space="preserve">durante l’intera carriera universitaria. </w:t>
      </w:r>
      <w:r w:rsidR="00421BE2" w:rsidRPr="00796373">
        <w:rPr>
          <w:rFonts w:ascii="Rubik" w:hAnsi="Rubik" w:cs="Rubik"/>
          <w:sz w:val="20"/>
          <w:szCs w:val="20"/>
        </w:rPr>
        <w:t>Anche qui è:</w:t>
      </w:r>
      <w:r w:rsidRPr="00796373">
        <w:rPr>
          <w:rFonts w:ascii="Rubik" w:hAnsi="Rubik" w:cs="Rubik"/>
          <w:sz w:val="20"/>
          <w:szCs w:val="20"/>
        </w:rPr>
        <w:t xml:space="preserve"> </w:t>
      </w:r>
      <m:oMath>
        <m:r>
          <w:rPr>
            <w:rFonts w:ascii="Cambria Math" w:hAnsi="Cambria Math" w:cs="Rubik"/>
            <w:sz w:val="20"/>
            <w:szCs w:val="20"/>
          </w:rPr>
          <m:t>0≤</m:t>
        </m:r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Rubik"/>
            <w:sz w:val="20"/>
            <w:szCs w:val="20"/>
          </w:rPr>
          <m:t>≤100</m:t>
        </m:r>
      </m:oMath>
      <w:r w:rsidR="00592ADD" w:rsidRPr="00796373">
        <w:rPr>
          <w:rFonts w:ascii="Rubik" w:eastAsiaTheme="minorEastAsia" w:hAnsi="Rubik" w:cs="Rubik"/>
          <w:sz w:val="20"/>
          <w:szCs w:val="20"/>
        </w:rPr>
        <w:t>.</w:t>
      </w:r>
    </w:p>
    <w:p w14:paraId="7029AB1D" w14:textId="03B3A48D" w:rsidR="006817E5" w:rsidRPr="00796373" w:rsidRDefault="006C5682" w:rsidP="00B06211">
      <w:pPr>
        <w:pStyle w:val="Paragrafoelenco"/>
        <w:spacing w:before="240"/>
        <w:ind w:left="0"/>
        <w:contextualSpacing w:val="0"/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A</w:t>
      </w:r>
      <w:r w:rsidR="00B06211" w:rsidRPr="00796373">
        <w:rPr>
          <w:rFonts w:ascii="Rubik" w:hAnsi="Rubik" w:cs="Rubik"/>
          <w:sz w:val="20"/>
          <w:szCs w:val="20"/>
        </w:rPr>
        <w:t xml:space="preserve">i due criteri </w:t>
      </w:r>
      <w:r w:rsidRPr="00796373">
        <w:rPr>
          <w:rFonts w:ascii="Rubik" w:hAnsi="Rubik" w:cs="Rubik"/>
          <w:sz w:val="20"/>
          <w:szCs w:val="20"/>
        </w:rPr>
        <w:t>è assegnato un peso paritetico e pertanto</w:t>
      </w:r>
      <w:r w:rsidR="00B06211" w:rsidRPr="00796373">
        <w:rPr>
          <w:rFonts w:ascii="Rubik" w:hAnsi="Rubik" w:cs="Rubik"/>
          <w:sz w:val="20"/>
          <w:szCs w:val="20"/>
        </w:rPr>
        <w:t xml:space="preserve"> il punteggio </w:t>
      </w:r>
      <w:r w:rsidR="006817E5" w:rsidRPr="00796373">
        <w:rPr>
          <w:rFonts w:ascii="Rubik" w:hAnsi="Rubik" w:cs="Rubik"/>
          <w:i/>
          <w:sz w:val="20"/>
          <w:szCs w:val="20"/>
        </w:rPr>
        <w:t>P</w:t>
      </w:r>
      <w:r w:rsidR="006817E5" w:rsidRPr="00796373">
        <w:rPr>
          <w:rFonts w:ascii="Rubik" w:hAnsi="Rubik" w:cs="Rubik"/>
          <w:sz w:val="20"/>
          <w:szCs w:val="20"/>
        </w:rPr>
        <w:t xml:space="preserve"> </w:t>
      </w:r>
      <w:r w:rsidRPr="00796373">
        <w:rPr>
          <w:rFonts w:ascii="Rubik" w:hAnsi="Rubik" w:cs="Rubik"/>
          <w:sz w:val="20"/>
          <w:szCs w:val="20"/>
        </w:rPr>
        <w:t>è</w:t>
      </w:r>
      <w:r w:rsidR="006817E5" w:rsidRPr="00796373">
        <w:rPr>
          <w:rFonts w:ascii="Rubik" w:hAnsi="Rubik" w:cs="Rubik"/>
          <w:sz w:val="20"/>
          <w:szCs w:val="20"/>
        </w:rPr>
        <w:t xml:space="preserve"> pari a:</w:t>
      </w:r>
    </w:p>
    <w:p w14:paraId="39A938B4" w14:textId="77777777" w:rsidR="00277359" w:rsidRPr="00796373" w:rsidRDefault="00277359" w:rsidP="00B06211">
      <w:pPr>
        <w:pStyle w:val="Paragrafoelenco"/>
        <w:spacing w:before="240"/>
        <w:ind w:left="0"/>
        <w:contextualSpacing w:val="0"/>
        <w:jc w:val="both"/>
        <w:rPr>
          <w:rFonts w:ascii="Rubik" w:hAnsi="Rubik" w:cs="Rubik"/>
          <w:sz w:val="20"/>
          <w:szCs w:val="20"/>
        </w:rPr>
      </w:pPr>
    </w:p>
    <w:p w14:paraId="09965B58" w14:textId="77777777" w:rsidR="006817E5" w:rsidRPr="00796373" w:rsidRDefault="006817E5" w:rsidP="006C5682">
      <w:pPr>
        <w:pStyle w:val="Paragrafoelenco"/>
        <w:spacing w:before="240"/>
        <w:ind w:left="709"/>
        <w:contextualSpacing w:val="0"/>
        <w:jc w:val="both"/>
        <w:rPr>
          <w:rFonts w:ascii="Rubik" w:eastAsiaTheme="minorEastAsia" w:hAnsi="Rubik" w:cs="Rubik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Rubik"/>
              <w:sz w:val="20"/>
              <w:szCs w:val="20"/>
            </w:rPr>
            <m:t>P=50%*</m:t>
          </m:r>
          <m:sSub>
            <m:sSubPr>
              <m:ctrlPr>
                <w:rPr>
                  <w:rFonts w:ascii="Cambria Math" w:hAnsi="Cambria Math" w:cs="Rubik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Rubik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Rubik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Rubik"/>
              <w:sz w:val="20"/>
              <w:szCs w:val="20"/>
            </w:rPr>
            <m:t>+ 50%*</m:t>
          </m:r>
          <m:sSub>
            <m:sSubPr>
              <m:ctrlPr>
                <w:rPr>
                  <w:rFonts w:ascii="Cambria Math" w:hAnsi="Cambria Math" w:cs="Rubik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Rubik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Rubik"/>
                  <w:sz w:val="20"/>
                  <w:szCs w:val="20"/>
                </w:rPr>
                <m:t>2</m:t>
              </m:r>
            </m:sub>
          </m:sSub>
        </m:oMath>
      </m:oMathPara>
    </w:p>
    <w:p w14:paraId="683AF058" w14:textId="77777777" w:rsidR="002F25BC" w:rsidRPr="00796373" w:rsidRDefault="002F25BC" w:rsidP="00421BE2">
      <w:pPr>
        <w:pStyle w:val="Paragrafoelenco"/>
        <w:spacing w:after="0"/>
        <w:ind w:left="0"/>
        <w:contextualSpacing w:val="0"/>
        <w:jc w:val="both"/>
        <w:rPr>
          <w:rFonts w:ascii="Rubik" w:eastAsiaTheme="minorEastAsia" w:hAnsi="Rubik" w:cs="Rubik"/>
          <w:sz w:val="20"/>
          <w:szCs w:val="20"/>
        </w:rPr>
      </w:pPr>
    </w:p>
    <w:p w14:paraId="6488C8FA" w14:textId="25D813D5" w:rsidR="00444810" w:rsidRPr="00796373" w:rsidRDefault="00444810" w:rsidP="004C1053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In caso di parità di punteggio, ai fini della graduatoria si considerano i seguenti criteri:</w:t>
      </w:r>
    </w:p>
    <w:p w14:paraId="17997A39" w14:textId="355625B9" w:rsidR="00444810" w:rsidRPr="00796373" w:rsidRDefault="00474C18" w:rsidP="00592779">
      <w:pPr>
        <w:pStyle w:val="Paragrafoelenco"/>
        <w:numPr>
          <w:ilvl w:val="0"/>
          <w:numId w:val="4"/>
        </w:num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I</w:t>
      </w:r>
      <w:r w:rsidR="00444810" w:rsidRPr="00796373">
        <w:rPr>
          <w:rFonts w:ascii="Rubik" w:hAnsi="Rubik" w:cs="Rubik"/>
          <w:sz w:val="20"/>
          <w:szCs w:val="20"/>
        </w:rPr>
        <w:t xml:space="preserve">l numero di </w:t>
      </w:r>
      <w:r w:rsidR="00647134" w:rsidRPr="00796373">
        <w:rPr>
          <w:rFonts w:ascii="Rubik" w:hAnsi="Rubik" w:cs="Rubik"/>
          <w:sz w:val="20"/>
          <w:szCs w:val="20"/>
        </w:rPr>
        <w:t xml:space="preserve">lodi “annuali”, definito come (Numero di </w:t>
      </w:r>
      <w:proofErr w:type="gramStart"/>
      <w:r w:rsidR="00647134" w:rsidRPr="00796373">
        <w:rPr>
          <w:rFonts w:ascii="Rubik" w:hAnsi="Rubik" w:cs="Rubik"/>
          <w:sz w:val="20"/>
          <w:szCs w:val="20"/>
        </w:rPr>
        <w:t>lodi)/</w:t>
      </w:r>
      <w:proofErr w:type="gramEnd"/>
      <w:r w:rsidR="00647134" w:rsidRPr="00796373">
        <w:rPr>
          <w:rFonts w:ascii="Rubik" w:hAnsi="Rubik" w:cs="Rubik"/>
          <w:sz w:val="20"/>
          <w:szCs w:val="20"/>
        </w:rPr>
        <w:t>(Anni di iscrizione</w:t>
      </w:r>
      <w:r w:rsidR="00444810" w:rsidRPr="00796373">
        <w:rPr>
          <w:rFonts w:ascii="Rubik" w:hAnsi="Rubik" w:cs="Rubik"/>
          <w:sz w:val="20"/>
          <w:szCs w:val="20"/>
        </w:rPr>
        <w:t>-1) conseguite dello studente durante tutta la sua carriera accademica;</w:t>
      </w:r>
    </w:p>
    <w:p w14:paraId="792A035C" w14:textId="664B6D8A" w:rsidR="00444810" w:rsidRDefault="00444810" w:rsidP="004C1053">
      <w:pPr>
        <w:pStyle w:val="Paragrafoelenco"/>
        <w:numPr>
          <w:ilvl w:val="0"/>
          <w:numId w:val="4"/>
        </w:num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 xml:space="preserve">A parità del fattore </w:t>
      </w:r>
      <w:r w:rsidR="00592779" w:rsidRPr="00796373">
        <w:rPr>
          <w:rFonts w:ascii="Rubik" w:hAnsi="Rubik" w:cs="Rubik"/>
          <w:sz w:val="20"/>
          <w:szCs w:val="20"/>
        </w:rPr>
        <w:t>(i.)</w:t>
      </w:r>
      <w:r w:rsidRPr="00796373">
        <w:rPr>
          <w:rFonts w:ascii="Rubik" w:hAnsi="Rubik" w:cs="Rubik"/>
          <w:sz w:val="20"/>
          <w:szCs w:val="20"/>
        </w:rPr>
        <w:t>, si con</w:t>
      </w:r>
      <w:r w:rsidR="00592779" w:rsidRPr="00796373">
        <w:rPr>
          <w:rFonts w:ascii="Rubik" w:hAnsi="Rubik" w:cs="Rubik"/>
          <w:sz w:val="20"/>
          <w:szCs w:val="20"/>
        </w:rPr>
        <w:t xml:space="preserve">sidera </w:t>
      </w:r>
      <w:r w:rsidR="00AA5A8E" w:rsidRPr="00796373">
        <w:rPr>
          <w:rFonts w:ascii="Rubik" w:hAnsi="Rubik" w:cs="Rubik"/>
          <w:sz w:val="20"/>
          <w:szCs w:val="20"/>
        </w:rPr>
        <w:t>il criterio del</w:t>
      </w:r>
      <w:r w:rsidR="00592779" w:rsidRPr="00796373">
        <w:rPr>
          <w:rFonts w:ascii="Rubik" w:hAnsi="Rubik" w:cs="Rubik"/>
          <w:sz w:val="20"/>
          <w:szCs w:val="20"/>
        </w:rPr>
        <w:t xml:space="preserve">la media degli esami, </w:t>
      </w:r>
      <m:oMath>
        <m:sSub>
          <m:sSubPr>
            <m:ctrlPr>
              <w:rPr>
                <w:rFonts w:ascii="Cambria Math" w:hAnsi="Cambria Math" w:cs="Rubi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Rubik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Rubik"/>
                <w:sz w:val="20"/>
                <w:szCs w:val="20"/>
              </w:rPr>
              <m:t>2</m:t>
            </m:r>
          </m:sub>
        </m:sSub>
      </m:oMath>
      <w:r w:rsidRPr="00796373">
        <w:rPr>
          <w:rFonts w:ascii="Rubik" w:hAnsi="Rubik" w:cs="Rubik"/>
          <w:sz w:val="20"/>
          <w:szCs w:val="20"/>
        </w:rPr>
        <w:t>.</w:t>
      </w:r>
    </w:p>
    <w:p w14:paraId="76B622FE" w14:textId="6A09E143" w:rsidR="00FF3756" w:rsidRPr="00796373" w:rsidRDefault="00FF3756" w:rsidP="004C1053">
      <w:pPr>
        <w:pStyle w:val="Paragrafoelenco"/>
        <w:numPr>
          <w:ilvl w:val="0"/>
          <w:numId w:val="4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 parità di fattori i. e ii. verrà data priorità al candidato più giovane</w:t>
      </w:r>
    </w:p>
    <w:p w14:paraId="67DB6B91" w14:textId="578A61CB" w:rsidR="00FC1061" w:rsidRPr="00796373" w:rsidRDefault="00966FBF" w:rsidP="00966FBF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A tutti gli studenti che non hanno mai partecipato al programma Erasmus per studio, viene assegnato un punteggio BONUS di 10 punti (la stessa regola viene applicata anche a coloro che lo hanno già svolto, ma in un diverso ciclo di studi);</w:t>
      </w:r>
    </w:p>
    <w:p w14:paraId="43057173" w14:textId="1EEB1C82" w:rsidR="00D857B0" w:rsidRPr="00796373" w:rsidRDefault="006817E5" w:rsidP="004C1053">
      <w:pPr>
        <w:jc w:val="both"/>
        <w:rPr>
          <w:rFonts w:ascii="Rubik" w:hAnsi="Rubik" w:cs="Rubik"/>
          <w:sz w:val="20"/>
          <w:szCs w:val="20"/>
        </w:rPr>
      </w:pPr>
      <w:r w:rsidRPr="00796373">
        <w:rPr>
          <w:rFonts w:ascii="Rubik" w:hAnsi="Rubik" w:cs="Rubik"/>
          <w:sz w:val="20"/>
          <w:szCs w:val="20"/>
        </w:rPr>
        <w:t>Il livello di competenza linguistica</w:t>
      </w:r>
      <w:r w:rsidR="00647134" w:rsidRPr="00796373">
        <w:rPr>
          <w:rFonts w:ascii="Rubik" w:hAnsi="Rubik" w:cs="Rubik"/>
          <w:sz w:val="20"/>
          <w:szCs w:val="20"/>
        </w:rPr>
        <w:t xml:space="preserve"> </w:t>
      </w:r>
      <w:r w:rsidRPr="00796373">
        <w:rPr>
          <w:rFonts w:ascii="Rubik" w:hAnsi="Rubik" w:cs="Rubik"/>
          <w:sz w:val="20"/>
          <w:szCs w:val="20"/>
        </w:rPr>
        <w:t xml:space="preserve">agisce da </w:t>
      </w:r>
      <w:r w:rsidRPr="00796373">
        <w:rPr>
          <w:rFonts w:ascii="Rubik" w:hAnsi="Rubik" w:cs="Rubik"/>
          <w:sz w:val="20"/>
          <w:szCs w:val="20"/>
          <w:u w:val="single"/>
        </w:rPr>
        <w:t>prerequisito</w:t>
      </w:r>
      <w:r w:rsidRPr="00796373">
        <w:rPr>
          <w:rFonts w:ascii="Rubik" w:hAnsi="Rubik" w:cs="Rubik"/>
          <w:sz w:val="20"/>
          <w:szCs w:val="20"/>
        </w:rPr>
        <w:t xml:space="preserve"> alla partecipazione al Programma</w:t>
      </w:r>
      <w:r w:rsidR="00C71F40" w:rsidRPr="00796373">
        <w:rPr>
          <w:rFonts w:ascii="Rubik" w:hAnsi="Rubik" w:cs="Rubik"/>
          <w:sz w:val="20"/>
          <w:szCs w:val="20"/>
        </w:rPr>
        <w:t xml:space="preserve"> </w:t>
      </w:r>
      <w:r w:rsidR="00647134" w:rsidRPr="00796373">
        <w:rPr>
          <w:rFonts w:ascii="Rubik" w:hAnsi="Rubik" w:cs="Rubik"/>
          <w:sz w:val="20"/>
          <w:szCs w:val="20"/>
        </w:rPr>
        <w:t xml:space="preserve">Erasmus+ </w:t>
      </w:r>
      <w:r w:rsidR="00C71F40" w:rsidRPr="00796373">
        <w:rPr>
          <w:rFonts w:ascii="Rubik" w:hAnsi="Rubik" w:cs="Rubik"/>
          <w:sz w:val="20"/>
          <w:szCs w:val="20"/>
        </w:rPr>
        <w:t>e non entra più nella formazione del punteggio ai fini della graduatoria</w:t>
      </w:r>
      <w:r w:rsidR="004D1114" w:rsidRPr="00796373">
        <w:rPr>
          <w:rFonts w:ascii="Rubik" w:hAnsi="Rubik" w:cs="Rubik"/>
          <w:sz w:val="20"/>
          <w:szCs w:val="20"/>
        </w:rPr>
        <w:t>.</w:t>
      </w:r>
      <w:r w:rsidR="00BD513B" w:rsidRPr="00796373">
        <w:rPr>
          <w:rFonts w:ascii="Rubik" w:hAnsi="Rubik" w:cs="Rubik"/>
          <w:sz w:val="20"/>
          <w:szCs w:val="20"/>
        </w:rPr>
        <w:t xml:space="preserve"> </w:t>
      </w:r>
      <w:r w:rsidR="009D5D1D" w:rsidRPr="00796373">
        <w:rPr>
          <w:rFonts w:ascii="Rubik" w:hAnsi="Rubik" w:cs="Rubik"/>
          <w:sz w:val="20"/>
          <w:szCs w:val="20"/>
        </w:rPr>
        <w:t>Ciò</w:t>
      </w:r>
      <w:r w:rsidR="004C1053" w:rsidRPr="00796373">
        <w:rPr>
          <w:rFonts w:ascii="Rubik" w:hAnsi="Rubik" w:cs="Rubik"/>
          <w:sz w:val="20"/>
          <w:szCs w:val="20"/>
        </w:rPr>
        <w:t xml:space="preserve"> consente la for</w:t>
      </w:r>
      <w:r w:rsidR="007E6739" w:rsidRPr="00796373">
        <w:rPr>
          <w:rFonts w:ascii="Rubik" w:hAnsi="Rubik" w:cs="Rubik"/>
          <w:sz w:val="20"/>
          <w:szCs w:val="20"/>
        </w:rPr>
        <w:t>mazione di un’unica graduatoria.</w:t>
      </w:r>
    </w:p>
    <w:tbl>
      <w:tblPr>
        <w:tblStyle w:val="Grigliatabella"/>
        <w:tblpPr w:leftFromText="141" w:rightFromText="141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1184"/>
        <w:gridCol w:w="1234"/>
        <w:gridCol w:w="1226"/>
        <w:gridCol w:w="1344"/>
        <w:gridCol w:w="1394"/>
        <w:gridCol w:w="1294"/>
        <w:gridCol w:w="1952"/>
      </w:tblGrid>
      <w:tr w:rsidR="004201EC" w:rsidRPr="00796373" w14:paraId="6CEA1716" w14:textId="77777777" w:rsidTr="004201EC">
        <w:trPr>
          <w:trHeight w:val="294"/>
        </w:trPr>
        <w:tc>
          <w:tcPr>
            <w:tcW w:w="1184" w:type="dxa"/>
            <w:vMerge w:val="restart"/>
            <w:vAlign w:val="center"/>
          </w:tcPr>
          <w:p w14:paraId="363BF946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Posizione</w:t>
            </w:r>
          </w:p>
        </w:tc>
        <w:tc>
          <w:tcPr>
            <w:tcW w:w="1234" w:type="dxa"/>
            <w:vMerge w:val="restart"/>
            <w:vAlign w:val="center"/>
          </w:tcPr>
          <w:p w14:paraId="35D6CD18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1226" w:type="dxa"/>
            <w:vMerge w:val="restart"/>
            <w:vAlign w:val="center"/>
          </w:tcPr>
          <w:p w14:paraId="0C86E352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4032" w:type="dxa"/>
            <w:gridSpan w:val="3"/>
            <w:vAlign w:val="center"/>
          </w:tcPr>
          <w:p w14:paraId="2DCB6CD9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Punteggio</w:t>
            </w:r>
          </w:p>
        </w:tc>
        <w:tc>
          <w:tcPr>
            <w:tcW w:w="1952" w:type="dxa"/>
            <w:vMerge w:val="restart"/>
            <w:vAlign w:val="center"/>
          </w:tcPr>
          <w:p w14:paraId="701B932D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Sedi selezionabili</w:t>
            </w:r>
          </w:p>
        </w:tc>
      </w:tr>
      <w:tr w:rsidR="004201EC" w:rsidRPr="00796373" w14:paraId="19917807" w14:textId="77777777" w:rsidTr="004201EC">
        <w:trPr>
          <w:trHeight w:val="294"/>
        </w:trPr>
        <w:tc>
          <w:tcPr>
            <w:tcW w:w="1184" w:type="dxa"/>
            <w:vMerge/>
            <w:vAlign w:val="center"/>
          </w:tcPr>
          <w:p w14:paraId="6B849D00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14:paraId="59880C7F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14:paraId="53545BF2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66583DC3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1394" w:type="dxa"/>
            <w:vAlign w:val="center"/>
          </w:tcPr>
          <w:p w14:paraId="62463C6D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Bonus</w:t>
            </w:r>
          </w:p>
        </w:tc>
        <w:tc>
          <w:tcPr>
            <w:tcW w:w="1294" w:type="dxa"/>
            <w:vAlign w:val="center"/>
          </w:tcPr>
          <w:p w14:paraId="3B891297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  <w:r w:rsidRPr="00796373">
              <w:rPr>
                <w:rFonts w:ascii="Rubik" w:hAnsi="Rubik" w:cs="Rubik"/>
                <w:b/>
                <w:i/>
                <w:sz w:val="20"/>
                <w:szCs w:val="20"/>
              </w:rPr>
              <w:t>Totale</w:t>
            </w:r>
          </w:p>
        </w:tc>
        <w:tc>
          <w:tcPr>
            <w:tcW w:w="1952" w:type="dxa"/>
            <w:vMerge/>
            <w:vAlign w:val="center"/>
          </w:tcPr>
          <w:p w14:paraId="149B0167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b/>
                <w:i/>
                <w:sz w:val="20"/>
                <w:szCs w:val="20"/>
              </w:rPr>
            </w:pPr>
          </w:p>
        </w:tc>
      </w:tr>
      <w:tr w:rsidR="004201EC" w:rsidRPr="00796373" w14:paraId="0099020C" w14:textId="77777777" w:rsidTr="004201EC">
        <w:tc>
          <w:tcPr>
            <w:tcW w:w="1184" w:type="dxa"/>
            <w:vAlign w:val="center"/>
          </w:tcPr>
          <w:p w14:paraId="7CB67370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14:paraId="7E779A27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Rossi</w:t>
            </w:r>
          </w:p>
        </w:tc>
        <w:tc>
          <w:tcPr>
            <w:tcW w:w="1226" w:type="dxa"/>
            <w:vAlign w:val="center"/>
          </w:tcPr>
          <w:p w14:paraId="4D61BDC8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Mario</w:t>
            </w:r>
          </w:p>
        </w:tc>
        <w:tc>
          <w:tcPr>
            <w:tcW w:w="1344" w:type="dxa"/>
            <w:vAlign w:val="center"/>
          </w:tcPr>
          <w:p w14:paraId="39BA85FC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95,23</w:t>
            </w:r>
          </w:p>
        </w:tc>
        <w:tc>
          <w:tcPr>
            <w:tcW w:w="1394" w:type="dxa"/>
            <w:vAlign w:val="center"/>
          </w:tcPr>
          <w:p w14:paraId="43B2F6B4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294" w:type="dxa"/>
            <w:vAlign w:val="center"/>
          </w:tcPr>
          <w:p w14:paraId="43AF2F48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105,23</w:t>
            </w:r>
          </w:p>
        </w:tc>
        <w:tc>
          <w:tcPr>
            <w:tcW w:w="1952" w:type="dxa"/>
            <w:vAlign w:val="center"/>
          </w:tcPr>
          <w:p w14:paraId="32B5B978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Inglese</w:t>
            </w:r>
          </w:p>
        </w:tc>
      </w:tr>
      <w:tr w:rsidR="004201EC" w:rsidRPr="00796373" w14:paraId="44ABFCB3" w14:textId="77777777" w:rsidTr="004201EC">
        <w:tc>
          <w:tcPr>
            <w:tcW w:w="1184" w:type="dxa"/>
            <w:vAlign w:val="center"/>
          </w:tcPr>
          <w:p w14:paraId="08F0247C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center"/>
          </w:tcPr>
          <w:p w14:paraId="7FB45D45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Bianchi</w:t>
            </w:r>
          </w:p>
        </w:tc>
        <w:tc>
          <w:tcPr>
            <w:tcW w:w="1226" w:type="dxa"/>
            <w:vAlign w:val="center"/>
          </w:tcPr>
          <w:p w14:paraId="456B1C8F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Francesca</w:t>
            </w:r>
          </w:p>
        </w:tc>
        <w:tc>
          <w:tcPr>
            <w:tcW w:w="1344" w:type="dxa"/>
            <w:vAlign w:val="center"/>
          </w:tcPr>
          <w:p w14:paraId="39337F2E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87,18</w:t>
            </w:r>
          </w:p>
        </w:tc>
        <w:tc>
          <w:tcPr>
            <w:tcW w:w="1394" w:type="dxa"/>
            <w:vAlign w:val="center"/>
          </w:tcPr>
          <w:p w14:paraId="07A2CA67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294" w:type="dxa"/>
            <w:vAlign w:val="center"/>
          </w:tcPr>
          <w:p w14:paraId="0B3B77DC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 xml:space="preserve">  97,18</w:t>
            </w:r>
          </w:p>
        </w:tc>
        <w:tc>
          <w:tcPr>
            <w:tcW w:w="1952" w:type="dxa"/>
            <w:vAlign w:val="center"/>
          </w:tcPr>
          <w:p w14:paraId="0371ED5F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Inglese, spagnolo</w:t>
            </w:r>
          </w:p>
        </w:tc>
      </w:tr>
      <w:tr w:rsidR="004201EC" w:rsidRPr="00796373" w14:paraId="49D0807A" w14:textId="77777777" w:rsidTr="004201EC">
        <w:tc>
          <w:tcPr>
            <w:tcW w:w="1184" w:type="dxa"/>
            <w:vAlign w:val="center"/>
          </w:tcPr>
          <w:p w14:paraId="150A38CB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14:paraId="44318E73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Verdi</w:t>
            </w:r>
          </w:p>
        </w:tc>
        <w:tc>
          <w:tcPr>
            <w:tcW w:w="1226" w:type="dxa"/>
            <w:vAlign w:val="center"/>
          </w:tcPr>
          <w:p w14:paraId="3C32AF4A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Alice</w:t>
            </w:r>
          </w:p>
        </w:tc>
        <w:tc>
          <w:tcPr>
            <w:tcW w:w="1344" w:type="dxa"/>
            <w:vAlign w:val="center"/>
          </w:tcPr>
          <w:p w14:paraId="7F7B77BB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92,18</w:t>
            </w:r>
          </w:p>
        </w:tc>
        <w:tc>
          <w:tcPr>
            <w:tcW w:w="1394" w:type="dxa"/>
            <w:vAlign w:val="center"/>
          </w:tcPr>
          <w:p w14:paraId="3EAD3692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 xml:space="preserve">  0</w:t>
            </w:r>
          </w:p>
        </w:tc>
        <w:tc>
          <w:tcPr>
            <w:tcW w:w="1294" w:type="dxa"/>
            <w:vAlign w:val="center"/>
          </w:tcPr>
          <w:p w14:paraId="16135FC6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 xml:space="preserve">  92,18</w:t>
            </w:r>
          </w:p>
        </w:tc>
        <w:tc>
          <w:tcPr>
            <w:tcW w:w="1952" w:type="dxa"/>
            <w:vAlign w:val="center"/>
          </w:tcPr>
          <w:p w14:paraId="004DF584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Tedesco</w:t>
            </w:r>
          </w:p>
        </w:tc>
      </w:tr>
      <w:tr w:rsidR="004201EC" w:rsidRPr="00796373" w14:paraId="345AEEDD" w14:textId="77777777" w:rsidTr="004201EC">
        <w:tc>
          <w:tcPr>
            <w:tcW w:w="1184" w:type="dxa"/>
            <w:vAlign w:val="center"/>
          </w:tcPr>
          <w:p w14:paraId="5EDD92A6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96373">
              <w:rPr>
                <w:rFonts w:ascii="Rubik" w:hAnsi="Rubik" w:cs="Rubik"/>
                <w:sz w:val="20"/>
                <w:szCs w:val="20"/>
              </w:rPr>
              <w:t>..</w:t>
            </w:r>
          </w:p>
        </w:tc>
        <w:tc>
          <w:tcPr>
            <w:tcW w:w="1234" w:type="dxa"/>
            <w:vAlign w:val="center"/>
          </w:tcPr>
          <w:p w14:paraId="754FD9B8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3606BDF" w14:textId="77777777" w:rsidR="004201EC" w:rsidRPr="00796373" w:rsidRDefault="004201EC" w:rsidP="004201EC">
            <w:pPr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516FF95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E57F277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EFD721B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C0F5C76" w14:textId="77777777" w:rsidR="004201EC" w:rsidRPr="00796373" w:rsidRDefault="004201EC" w:rsidP="004201E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1E614BD" w14:textId="77777777" w:rsidR="00F9784C" w:rsidRPr="00796373" w:rsidRDefault="00F9784C" w:rsidP="00F9784C">
      <w:pPr>
        <w:spacing w:after="0"/>
        <w:jc w:val="center"/>
        <w:rPr>
          <w:rFonts w:ascii="Rubik" w:hAnsi="Rubik" w:cs="Rubik"/>
          <w:b/>
          <w:sz w:val="20"/>
          <w:szCs w:val="20"/>
          <w:highlight w:val="green"/>
        </w:rPr>
      </w:pPr>
    </w:p>
    <w:sectPr w:rsidR="00F9784C" w:rsidRPr="00796373" w:rsidSect="00F9784C">
      <w:footerReference w:type="default" r:id="rId8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0624" w14:textId="77777777" w:rsidR="00DC7DDB" w:rsidRDefault="00DC7DDB" w:rsidP="003816E1">
      <w:pPr>
        <w:spacing w:after="0" w:line="240" w:lineRule="auto"/>
      </w:pPr>
      <w:r>
        <w:separator/>
      </w:r>
    </w:p>
  </w:endnote>
  <w:endnote w:type="continuationSeparator" w:id="0">
    <w:p w14:paraId="1116303E" w14:textId="77777777" w:rsidR="00DC7DDB" w:rsidRDefault="00DC7DDB" w:rsidP="0038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14720"/>
      <w:docPartObj>
        <w:docPartGallery w:val="Page Numbers (Bottom of Page)"/>
        <w:docPartUnique/>
      </w:docPartObj>
    </w:sdtPr>
    <w:sdtEndPr/>
    <w:sdtContent>
      <w:p w14:paraId="7E659113" w14:textId="77777777" w:rsidR="003816E1" w:rsidRDefault="003816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73">
          <w:rPr>
            <w:noProof/>
          </w:rPr>
          <w:t>2</w:t>
        </w:r>
        <w:r>
          <w:fldChar w:fldCharType="end"/>
        </w:r>
      </w:p>
    </w:sdtContent>
  </w:sdt>
  <w:p w14:paraId="197B9026" w14:textId="77777777" w:rsidR="003816E1" w:rsidRDefault="003816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6681" w14:textId="77777777" w:rsidR="00DC7DDB" w:rsidRDefault="00DC7DDB" w:rsidP="003816E1">
      <w:pPr>
        <w:spacing w:after="0" w:line="240" w:lineRule="auto"/>
      </w:pPr>
      <w:r>
        <w:separator/>
      </w:r>
    </w:p>
  </w:footnote>
  <w:footnote w:type="continuationSeparator" w:id="0">
    <w:p w14:paraId="32D21778" w14:textId="77777777" w:rsidR="00DC7DDB" w:rsidRDefault="00DC7DDB" w:rsidP="0038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AD9"/>
    <w:multiLevelType w:val="hybridMultilevel"/>
    <w:tmpl w:val="7A8E358C"/>
    <w:lvl w:ilvl="0" w:tplc="59C65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4E51"/>
    <w:multiLevelType w:val="hybridMultilevel"/>
    <w:tmpl w:val="8A72E20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795B"/>
    <w:multiLevelType w:val="hybridMultilevel"/>
    <w:tmpl w:val="88A46672"/>
    <w:lvl w:ilvl="0" w:tplc="0B1A3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E53E8"/>
    <w:multiLevelType w:val="hybridMultilevel"/>
    <w:tmpl w:val="162ABDC2"/>
    <w:lvl w:ilvl="0" w:tplc="BDACE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0D"/>
    <w:rsid w:val="0000366F"/>
    <w:rsid w:val="00006F6F"/>
    <w:rsid w:val="00015736"/>
    <w:rsid w:val="000C1276"/>
    <w:rsid w:val="00142713"/>
    <w:rsid w:val="00167D97"/>
    <w:rsid w:val="001C1AA3"/>
    <w:rsid w:val="001F5080"/>
    <w:rsid w:val="002011C9"/>
    <w:rsid w:val="00241552"/>
    <w:rsid w:val="00277359"/>
    <w:rsid w:val="002C049F"/>
    <w:rsid w:val="002E33C6"/>
    <w:rsid w:val="002F25BC"/>
    <w:rsid w:val="002F47B8"/>
    <w:rsid w:val="003816E1"/>
    <w:rsid w:val="003868CF"/>
    <w:rsid w:val="003A3E7B"/>
    <w:rsid w:val="003E2DE5"/>
    <w:rsid w:val="00410523"/>
    <w:rsid w:val="004201EC"/>
    <w:rsid w:val="00421BE2"/>
    <w:rsid w:val="00444810"/>
    <w:rsid w:val="00447FFD"/>
    <w:rsid w:val="00474C18"/>
    <w:rsid w:val="004A3BB2"/>
    <w:rsid w:val="004C1053"/>
    <w:rsid w:val="004D1114"/>
    <w:rsid w:val="005348F1"/>
    <w:rsid w:val="005675A7"/>
    <w:rsid w:val="00592779"/>
    <w:rsid w:val="00592ADD"/>
    <w:rsid w:val="005D20A0"/>
    <w:rsid w:val="00604D57"/>
    <w:rsid w:val="00642675"/>
    <w:rsid w:val="00647134"/>
    <w:rsid w:val="00647552"/>
    <w:rsid w:val="006510FA"/>
    <w:rsid w:val="006544AF"/>
    <w:rsid w:val="0066512D"/>
    <w:rsid w:val="00676975"/>
    <w:rsid w:val="006817E5"/>
    <w:rsid w:val="006C5682"/>
    <w:rsid w:val="006C5FC4"/>
    <w:rsid w:val="006D6FF4"/>
    <w:rsid w:val="00701C94"/>
    <w:rsid w:val="00734D06"/>
    <w:rsid w:val="007466B0"/>
    <w:rsid w:val="00796373"/>
    <w:rsid w:val="007C5AC0"/>
    <w:rsid w:val="007E5458"/>
    <w:rsid w:val="007E6739"/>
    <w:rsid w:val="007F3194"/>
    <w:rsid w:val="007F5B78"/>
    <w:rsid w:val="0080660D"/>
    <w:rsid w:val="00806C78"/>
    <w:rsid w:val="00814D9D"/>
    <w:rsid w:val="00847E3A"/>
    <w:rsid w:val="008719F1"/>
    <w:rsid w:val="008F6AF6"/>
    <w:rsid w:val="00917001"/>
    <w:rsid w:val="00947C19"/>
    <w:rsid w:val="00966FBF"/>
    <w:rsid w:val="009B074E"/>
    <w:rsid w:val="009D5D1D"/>
    <w:rsid w:val="009E49F1"/>
    <w:rsid w:val="00A20519"/>
    <w:rsid w:val="00A410D3"/>
    <w:rsid w:val="00A46CE2"/>
    <w:rsid w:val="00A933C9"/>
    <w:rsid w:val="00A93795"/>
    <w:rsid w:val="00AA5A8E"/>
    <w:rsid w:val="00AC567F"/>
    <w:rsid w:val="00AD1E4E"/>
    <w:rsid w:val="00AD6E5F"/>
    <w:rsid w:val="00B06211"/>
    <w:rsid w:val="00BA2262"/>
    <w:rsid w:val="00BC280B"/>
    <w:rsid w:val="00BD513B"/>
    <w:rsid w:val="00C2358D"/>
    <w:rsid w:val="00C569BD"/>
    <w:rsid w:val="00C61296"/>
    <w:rsid w:val="00C71F40"/>
    <w:rsid w:val="00C82551"/>
    <w:rsid w:val="00CC257A"/>
    <w:rsid w:val="00D62648"/>
    <w:rsid w:val="00D857B0"/>
    <w:rsid w:val="00DC7DDB"/>
    <w:rsid w:val="00DD3C2F"/>
    <w:rsid w:val="00DE5776"/>
    <w:rsid w:val="00DF3A29"/>
    <w:rsid w:val="00E00A51"/>
    <w:rsid w:val="00E0109C"/>
    <w:rsid w:val="00E0345F"/>
    <w:rsid w:val="00E3228B"/>
    <w:rsid w:val="00E40182"/>
    <w:rsid w:val="00E432F9"/>
    <w:rsid w:val="00E81AD4"/>
    <w:rsid w:val="00EF6E7D"/>
    <w:rsid w:val="00F37002"/>
    <w:rsid w:val="00F708B2"/>
    <w:rsid w:val="00F9784C"/>
    <w:rsid w:val="00FA276E"/>
    <w:rsid w:val="00FA6E6F"/>
    <w:rsid w:val="00FC1061"/>
    <w:rsid w:val="00FD1CF2"/>
    <w:rsid w:val="00FE12D2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B363"/>
  <w15:docId w15:val="{EE9874AB-8ACF-4E02-BF5B-44A566D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60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0660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52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2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1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6E1"/>
  </w:style>
  <w:style w:type="paragraph" w:styleId="Pidipagina">
    <w:name w:val="footer"/>
    <w:basedOn w:val="Normale"/>
    <w:link w:val="PidipaginaCarattere"/>
    <w:uiPriority w:val="99"/>
    <w:unhideWhenUsed/>
    <w:rsid w:val="00381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6E1"/>
  </w:style>
  <w:style w:type="character" w:styleId="Rimandocommento">
    <w:name w:val="annotation reference"/>
    <w:basedOn w:val="Carpredefinitoparagrafo"/>
    <w:uiPriority w:val="99"/>
    <w:semiHidden/>
    <w:unhideWhenUsed/>
    <w:rsid w:val="00AD6E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6E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6E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E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0702-1AFF-4078-9F05-4575F577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brioschi</dc:creator>
  <cp:lastModifiedBy>Daniele Valsecchi</cp:lastModifiedBy>
  <cp:revision>7</cp:revision>
  <cp:lastPrinted>2019-01-11T11:47:00Z</cp:lastPrinted>
  <dcterms:created xsi:type="dcterms:W3CDTF">2019-01-11T11:47:00Z</dcterms:created>
  <dcterms:modified xsi:type="dcterms:W3CDTF">2021-09-30T09:40:00Z</dcterms:modified>
</cp:coreProperties>
</file>