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11A0B" w14:textId="1E509F28" w:rsidR="00B42429" w:rsidRDefault="001A5F90" w:rsidP="00B42429">
      <w:pPr>
        <w:spacing w:after="120"/>
        <w:jc w:val="center"/>
        <w:rPr>
          <w:rFonts w:ascii="Rubik" w:eastAsia="Rubik" w:hAnsi="Rubik" w:cs="Rubik"/>
          <w:color w:val="333333"/>
          <w:sz w:val="20"/>
          <w:szCs w:val="20"/>
          <w:highlight w:val="white"/>
          <w:u w:val="single"/>
        </w:rPr>
      </w:pPr>
      <w:r>
        <w:rPr>
          <w:rFonts w:ascii="Rubik" w:eastAsia="Rubik" w:hAnsi="Rubik" w:cs="Rubik"/>
          <w:color w:val="333333"/>
          <w:sz w:val="20"/>
          <w:szCs w:val="20"/>
          <w:highlight w:val="white"/>
          <w:u w:val="single"/>
        </w:rPr>
        <w:t xml:space="preserve">COMUNICATO </w:t>
      </w:r>
      <w:r w:rsidR="00C27830" w:rsidRPr="007E36E5">
        <w:rPr>
          <w:rFonts w:ascii="Rubik" w:eastAsia="Rubik" w:hAnsi="Rubik" w:cs="Rubik"/>
          <w:color w:val="333333"/>
          <w:sz w:val="20"/>
          <w:szCs w:val="20"/>
          <w:highlight w:val="white"/>
          <w:u w:val="single"/>
        </w:rPr>
        <w:t>STAMPA</w:t>
      </w:r>
    </w:p>
    <w:p w14:paraId="150105CB" w14:textId="77777777" w:rsidR="00C17AB6" w:rsidRPr="00C17AB6" w:rsidRDefault="00C17AB6" w:rsidP="00B42429">
      <w:pPr>
        <w:spacing w:after="120"/>
        <w:jc w:val="center"/>
        <w:rPr>
          <w:rFonts w:ascii="Rubik" w:eastAsia="Rubik" w:hAnsi="Rubik" w:cs="Rubik"/>
          <w:color w:val="333333"/>
          <w:sz w:val="2"/>
          <w:szCs w:val="2"/>
          <w:highlight w:val="white"/>
          <w:u w:val="single"/>
        </w:rPr>
      </w:pPr>
    </w:p>
    <w:p w14:paraId="7E384DDE" w14:textId="75186B62" w:rsidR="00F176F8" w:rsidRDefault="00F176F8" w:rsidP="00F90703">
      <w:pPr>
        <w:spacing w:after="120"/>
        <w:jc w:val="center"/>
        <w:rPr>
          <w:rFonts w:ascii="Rubik" w:eastAsia="Rubik" w:hAnsi="Rubik" w:cs="Rubik"/>
          <w:b/>
          <w:bCs/>
        </w:rPr>
      </w:pPr>
      <w:r>
        <w:rPr>
          <w:rFonts w:ascii="Rubik" w:eastAsia="Rubik" w:hAnsi="Rubik" w:cs="Rubik"/>
          <w:b/>
          <w:bCs/>
        </w:rPr>
        <w:t>SERVITIZZAZIONE E DIGITALIZZAZIONE NELL’INDUSTRIA MANIFATTURIERA</w:t>
      </w:r>
    </w:p>
    <w:p w14:paraId="195BD8C3" w14:textId="4ACEE51C" w:rsidR="00C17AB6" w:rsidRDefault="00F90703" w:rsidP="00F90703">
      <w:pPr>
        <w:spacing w:after="120"/>
        <w:jc w:val="center"/>
        <w:rPr>
          <w:rFonts w:ascii="Rubik" w:eastAsia="Rubik" w:hAnsi="Rubik" w:cs="Rubik"/>
          <w:b/>
          <w:bCs/>
        </w:rPr>
      </w:pPr>
      <w:r>
        <w:rPr>
          <w:rFonts w:ascii="Rubik" w:eastAsia="Rubik" w:hAnsi="Rubik" w:cs="Rubik"/>
          <w:b/>
          <w:bCs/>
        </w:rPr>
        <w:t xml:space="preserve">NASCE IL </w:t>
      </w:r>
      <w:r w:rsidR="009931CA">
        <w:rPr>
          <w:rFonts w:ascii="Rubik" w:eastAsia="Rubik" w:hAnsi="Rubik" w:cs="Rubik"/>
          <w:b/>
          <w:bCs/>
        </w:rPr>
        <w:t>“</w:t>
      </w:r>
      <w:r>
        <w:rPr>
          <w:rFonts w:ascii="Rubik" w:eastAsia="Rubik" w:hAnsi="Rubik" w:cs="Rubik"/>
          <w:b/>
          <w:bCs/>
        </w:rPr>
        <w:t>CENTRO INTERUNIVERSITARIO DI RICERCA SULL’INNOVAZIONE E LA GESTIONE DEI SERVIZI NELLE IMPRESE INDUSTRIALI</w:t>
      </w:r>
      <w:r w:rsidR="009931CA">
        <w:rPr>
          <w:rFonts w:ascii="Rubik" w:eastAsia="Rubik" w:hAnsi="Rubik" w:cs="Rubik"/>
          <w:b/>
          <w:bCs/>
        </w:rPr>
        <w:t>”</w:t>
      </w:r>
    </w:p>
    <w:p w14:paraId="73EA5C28" w14:textId="1024C74E" w:rsidR="00F176F8" w:rsidRPr="00F176F8" w:rsidRDefault="00F176F8" w:rsidP="001A5F9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ubik" w:eastAsia="Rubik" w:hAnsi="Rubik" w:cs="Rubik"/>
          <w:sz w:val="22"/>
          <w:szCs w:val="22"/>
        </w:rPr>
      </w:pPr>
      <w:r w:rsidRPr="00F176F8">
        <w:rPr>
          <w:rFonts w:ascii="Rubik" w:eastAsia="Rubik" w:hAnsi="Rubik" w:cs="Rubik"/>
          <w:i/>
          <w:iCs/>
          <w:sz w:val="22"/>
          <w:szCs w:val="22"/>
        </w:rPr>
        <w:t xml:space="preserve">Bergamo, </w:t>
      </w:r>
      <w:r w:rsidR="00AB48D6">
        <w:rPr>
          <w:rFonts w:ascii="Rubik" w:eastAsia="Rubik" w:hAnsi="Rubik" w:cs="Rubik"/>
          <w:i/>
          <w:iCs/>
          <w:sz w:val="22"/>
          <w:szCs w:val="22"/>
        </w:rPr>
        <w:t>8</w:t>
      </w:r>
      <w:r w:rsidRPr="00F176F8">
        <w:rPr>
          <w:rFonts w:ascii="Rubik" w:eastAsia="Rubik" w:hAnsi="Rubik" w:cs="Rubik"/>
          <w:i/>
          <w:iCs/>
          <w:sz w:val="22"/>
          <w:szCs w:val="22"/>
        </w:rPr>
        <w:t xml:space="preserve"> giugno 2022</w:t>
      </w:r>
      <w:r w:rsidRPr="00F176F8">
        <w:rPr>
          <w:rFonts w:ascii="Rubik" w:eastAsia="Rubik" w:hAnsi="Rubik" w:cs="Rubik"/>
          <w:sz w:val="22"/>
          <w:szCs w:val="22"/>
        </w:rPr>
        <w:t xml:space="preserve"> – </w:t>
      </w:r>
      <w:r w:rsidR="00B97E37" w:rsidRPr="00F176F8">
        <w:rPr>
          <w:rFonts w:ascii="Rubik" w:eastAsia="Rubik" w:hAnsi="Rubik" w:cs="Rubik"/>
          <w:sz w:val="22"/>
          <w:szCs w:val="22"/>
        </w:rPr>
        <w:t>Nasce dalla collaborazione ventennale tra le Università di Bergamo, Brescia, Firenze e il Piemonte Orientale, iniziata con un progetto di ricerca di eccellenza finanziato dal MIUR, il</w:t>
      </w:r>
      <w:r w:rsidR="001A5F90" w:rsidRPr="00F176F8">
        <w:rPr>
          <w:rFonts w:ascii="Rubik" w:eastAsia="Rubik" w:hAnsi="Rubik" w:cs="Rubik"/>
          <w:sz w:val="22"/>
          <w:szCs w:val="22"/>
        </w:rPr>
        <w:t xml:space="preserve"> </w:t>
      </w:r>
      <w:r w:rsidR="00B97E37" w:rsidRPr="00F176F8">
        <w:rPr>
          <w:rFonts w:ascii="Rubik" w:eastAsia="Rubik" w:hAnsi="Rubik" w:cs="Rubik"/>
          <w:b/>
          <w:bCs/>
          <w:i/>
          <w:iCs/>
          <w:sz w:val="22"/>
          <w:szCs w:val="22"/>
        </w:rPr>
        <w:t>Centro interuniversitario di ricerca sull’innovazione e la gestione dei servizi nelle imprese industriali</w:t>
      </w:r>
      <w:r w:rsidR="00B97E37" w:rsidRPr="00F176F8">
        <w:rPr>
          <w:rFonts w:ascii="Rubik" w:eastAsia="Rubik" w:hAnsi="Rubik" w:cs="Rubik"/>
          <w:sz w:val="22"/>
          <w:szCs w:val="22"/>
        </w:rPr>
        <w:t xml:space="preserve">, volto a comprendere le relazioni tra </w:t>
      </w:r>
      <w:r w:rsidR="00B97E37" w:rsidRPr="00F176F8">
        <w:rPr>
          <w:rFonts w:ascii="Rubik" w:eastAsia="Rubik" w:hAnsi="Rubik" w:cs="Rubik"/>
          <w:b/>
          <w:bCs/>
          <w:sz w:val="22"/>
          <w:szCs w:val="22"/>
        </w:rPr>
        <w:t>digitalizzazione e servitizzazione</w:t>
      </w:r>
      <w:r w:rsidR="00B97E37" w:rsidRPr="00F176F8">
        <w:rPr>
          <w:rFonts w:ascii="Rubik" w:eastAsia="Rubik" w:hAnsi="Rubik" w:cs="Rubik"/>
          <w:sz w:val="22"/>
          <w:szCs w:val="22"/>
        </w:rPr>
        <w:t xml:space="preserve"> e come supportare adeguatamente le aziende a servitizzarsi. </w:t>
      </w:r>
    </w:p>
    <w:p w14:paraId="59492508" w14:textId="6F63C1AF" w:rsidR="00B97E37" w:rsidRPr="00F176F8" w:rsidRDefault="00B97E37" w:rsidP="001A5F9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ubik" w:eastAsia="Rubik" w:hAnsi="Rubik" w:cs="Rubik"/>
          <w:sz w:val="22"/>
          <w:szCs w:val="22"/>
        </w:rPr>
      </w:pPr>
      <w:r w:rsidRPr="00F176F8">
        <w:rPr>
          <w:rFonts w:ascii="Rubik" w:eastAsia="Rubik" w:hAnsi="Rubik" w:cs="Rubik"/>
          <w:sz w:val="22"/>
          <w:szCs w:val="22"/>
        </w:rPr>
        <w:t xml:space="preserve">La presentazione del risultato della collaborazione tra i 4 atenei </w:t>
      </w:r>
      <w:r w:rsidR="00F176F8" w:rsidRPr="00F176F8">
        <w:rPr>
          <w:rFonts w:ascii="Rubik" w:eastAsia="Rubik" w:hAnsi="Rubik" w:cs="Rubik"/>
          <w:sz w:val="22"/>
          <w:szCs w:val="22"/>
        </w:rPr>
        <w:t xml:space="preserve">si è tenuta </w:t>
      </w:r>
      <w:r w:rsidR="00F176F8" w:rsidRPr="00F176F8">
        <w:rPr>
          <w:rFonts w:ascii="Rubik" w:eastAsia="Rubik" w:hAnsi="Rubik" w:cs="Rubik"/>
          <w:b/>
          <w:bCs/>
          <w:sz w:val="22"/>
          <w:szCs w:val="22"/>
        </w:rPr>
        <w:t xml:space="preserve">nel pomeriggio di martedì 7 giugno </w:t>
      </w:r>
      <w:r w:rsidRPr="00F176F8">
        <w:rPr>
          <w:rFonts w:ascii="Rubik" w:eastAsia="Rubik" w:hAnsi="Rubik" w:cs="Rubik"/>
          <w:sz w:val="22"/>
          <w:szCs w:val="22"/>
        </w:rPr>
        <w:t xml:space="preserve">presso la </w:t>
      </w:r>
      <w:r w:rsidRPr="00F176F8">
        <w:rPr>
          <w:rFonts w:ascii="Rubik" w:eastAsia="Rubik" w:hAnsi="Rubik" w:cs="Rubik"/>
          <w:b/>
          <w:bCs/>
          <w:sz w:val="22"/>
          <w:szCs w:val="22"/>
        </w:rPr>
        <w:t>Sala Conferenze S. Agostino</w:t>
      </w:r>
      <w:r w:rsidR="00F176F8" w:rsidRPr="00F176F8">
        <w:rPr>
          <w:rFonts w:ascii="Rubik" w:eastAsia="Rubik" w:hAnsi="Rubik" w:cs="Rubik"/>
          <w:sz w:val="22"/>
          <w:szCs w:val="22"/>
        </w:rPr>
        <w:t xml:space="preserve">, alla presenza dei </w:t>
      </w:r>
      <w:r w:rsidR="00F176F8" w:rsidRPr="00F176F8">
        <w:rPr>
          <w:rFonts w:ascii="Rubik" w:eastAsia="Rubik" w:hAnsi="Rubik" w:cs="Rubik"/>
          <w:b/>
          <w:bCs/>
          <w:sz w:val="22"/>
          <w:szCs w:val="22"/>
        </w:rPr>
        <w:t>Magnifici Rettori delle 4 università</w:t>
      </w:r>
      <w:r w:rsidR="00F176F8" w:rsidRPr="00F176F8">
        <w:rPr>
          <w:rFonts w:ascii="Rubik" w:eastAsia="Rubik" w:hAnsi="Rubik" w:cs="Rubik"/>
          <w:sz w:val="22"/>
          <w:szCs w:val="22"/>
        </w:rPr>
        <w:t xml:space="preserve">, degli </w:t>
      </w:r>
      <w:r w:rsidR="00F176F8" w:rsidRPr="00F176F8">
        <w:rPr>
          <w:rFonts w:ascii="Rubik" w:eastAsia="Rubik" w:hAnsi="Rubik" w:cs="Rubik"/>
          <w:b/>
          <w:bCs/>
          <w:sz w:val="22"/>
          <w:szCs w:val="22"/>
        </w:rPr>
        <w:t>amministratori delegati di prestigiose aziende</w:t>
      </w:r>
      <w:r w:rsidR="0088679C">
        <w:rPr>
          <w:rFonts w:ascii="Rubik" w:eastAsia="Rubik" w:hAnsi="Rubik" w:cs="Rubik"/>
          <w:b/>
          <w:bCs/>
          <w:sz w:val="22"/>
          <w:szCs w:val="22"/>
        </w:rPr>
        <w:t>,</w:t>
      </w:r>
      <w:r w:rsidR="00F176F8" w:rsidRPr="00F176F8">
        <w:rPr>
          <w:rFonts w:ascii="Rubik" w:eastAsia="Rubik" w:hAnsi="Rubik" w:cs="Rubik"/>
          <w:sz w:val="22"/>
          <w:szCs w:val="22"/>
        </w:rPr>
        <w:t xml:space="preserve"> dei </w:t>
      </w:r>
      <w:r w:rsidR="00F176F8" w:rsidRPr="00F176F8">
        <w:rPr>
          <w:rFonts w:ascii="Rubik" w:eastAsia="Rubik" w:hAnsi="Rubik" w:cs="Rubik"/>
          <w:b/>
          <w:bCs/>
          <w:sz w:val="22"/>
          <w:szCs w:val="22"/>
        </w:rPr>
        <w:t xml:space="preserve">rappresentanti dei partner </w:t>
      </w:r>
      <w:r w:rsidR="0088679C">
        <w:rPr>
          <w:rFonts w:ascii="Rubik" w:eastAsia="Rubik" w:hAnsi="Rubik" w:cs="Rubik"/>
          <w:b/>
          <w:bCs/>
          <w:sz w:val="22"/>
          <w:szCs w:val="22"/>
        </w:rPr>
        <w:t xml:space="preserve">di ricerca </w:t>
      </w:r>
      <w:r w:rsidR="00F176F8" w:rsidRPr="00F176F8">
        <w:rPr>
          <w:rFonts w:ascii="Rubik" w:eastAsia="Rubik" w:hAnsi="Rubik" w:cs="Rubik"/>
          <w:b/>
          <w:bCs/>
          <w:sz w:val="22"/>
          <w:szCs w:val="22"/>
        </w:rPr>
        <w:t>internazionali</w:t>
      </w:r>
      <w:r w:rsidR="00F176F8" w:rsidRPr="00F176F8">
        <w:rPr>
          <w:rFonts w:ascii="Rubik" w:eastAsia="Rubik" w:hAnsi="Rubik" w:cs="Rubik"/>
          <w:sz w:val="22"/>
          <w:szCs w:val="22"/>
        </w:rPr>
        <w:t xml:space="preserve"> </w:t>
      </w:r>
      <w:r w:rsidR="00F176F8" w:rsidRPr="00F176F8">
        <w:rPr>
          <w:rFonts w:ascii="Rubik" w:eastAsia="Rubik" w:hAnsi="Rubik" w:cs="Rubik"/>
          <w:b/>
          <w:bCs/>
          <w:sz w:val="22"/>
          <w:szCs w:val="22"/>
        </w:rPr>
        <w:t>e delle aziende</w:t>
      </w:r>
      <w:r w:rsidR="00F176F8" w:rsidRPr="00F176F8">
        <w:rPr>
          <w:rFonts w:ascii="Rubik" w:eastAsia="Rubik" w:hAnsi="Rubik" w:cs="Rubik"/>
          <w:sz w:val="22"/>
          <w:szCs w:val="22"/>
        </w:rPr>
        <w:t xml:space="preserve"> che in questi 20 anni di attività hanno animato la community.</w:t>
      </w:r>
    </w:p>
    <w:p w14:paraId="104428BE" w14:textId="0D1C4862" w:rsidR="001A5F90" w:rsidRPr="00F176F8" w:rsidRDefault="00070D04" w:rsidP="001A5F9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ubik" w:eastAsia="Rubik" w:hAnsi="Rubik" w:cs="Rubik"/>
          <w:sz w:val="22"/>
          <w:szCs w:val="22"/>
        </w:rPr>
      </w:pPr>
      <w:r w:rsidRPr="00F176F8">
        <w:rPr>
          <w:rFonts w:ascii="Rubik" w:eastAsia="Rubik" w:hAnsi="Rubik" w:cs="Rubik"/>
          <w:sz w:val="22"/>
          <w:szCs w:val="22"/>
        </w:rPr>
        <w:t>Il progetto si inserisce nel contesto delle azioni già intraprese dal consorzio di ricerca che ha dato vita, nel 2005, all’</w:t>
      </w:r>
      <w:r w:rsidRPr="00F176F8">
        <w:rPr>
          <w:rFonts w:ascii="Rubik" w:eastAsia="Rubik" w:hAnsi="Rubik" w:cs="Rubik"/>
          <w:b/>
          <w:bCs/>
          <w:sz w:val="22"/>
          <w:szCs w:val="22"/>
        </w:rPr>
        <w:t>ASAP Service Management Forum</w:t>
      </w:r>
      <w:r w:rsidRPr="00F176F8">
        <w:rPr>
          <w:rFonts w:ascii="Rubik" w:eastAsia="Rubik" w:hAnsi="Rubik" w:cs="Rubik"/>
          <w:sz w:val="22"/>
          <w:szCs w:val="22"/>
        </w:rPr>
        <w:t xml:space="preserve">, una community per la ricerca, la formazione, il networking e il trasferimento nell’ambito della servitizzazione e dell’offerta di servizi associati a prodotti e beni industriali. Temi, questi, sempre più al centro delle strategie odierne di </w:t>
      </w:r>
      <w:r w:rsidRPr="00F176F8">
        <w:rPr>
          <w:rFonts w:ascii="Rubik" w:eastAsia="Rubik" w:hAnsi="Rubik" w:cs="Rubik"/>
          <w:b/>
          <w:bCs/>
          <w:sz w:val="22"/>
          <w:szCs w:val="22"/>
        </w:rPr>
        <w:t>crescita, sviluppo e differenziazione</w:t>
      </w:r>
      <w:r w:rsidRPr="00F176F8">
        <w:rPr>
          <w:rFonts w:ascii="Rubik" w:eastAsia="Rubik" w:hAnsi="Rubik" w:cs="Rubik"/>
          <w:sz w:val="22"/>
          <w:szCs w:val="22"/>
        </w:rPr>
        <w:t xml:space="preserve"> della maggior parte delle</w:t>
      </w:r>
      <w:r w:rsidRPr="00F176F8">
        <w:rPr>
          <w:rFonts w:ascii="Rubik" w:eastAsia="Rubik" w:hAnsi="Rubik" w:cs="Rubik"/>
          <w:b/>
          <w:bCs/>
          <w:sz w:val="22"/>
          <w:szCs w:val="22"/>
        </w:rPr>
        <w:t xml:space="preserve"> imprese manifatturiere</w:t>
      </w:r>
      <w:r w:rsidRPr="00F176F8">
        <w:rPr>
          <w:rFonts w:ascii="Rubik" w:eastAsia="Rubik" w:hAnsi="Rubik" w:cs="Rubik"/>
          <w:sz w:val="22"/>
          <w:szCs w:val="22"/>
        </w:rPr>
        <w:t>.</w:t>
      </w:r>
      <w:r w:rsidR="0031630A" w:rsidRPr="00F176F8">
        <w:rPr>
          <w:rFonts w:ascii="Rubik" w:eastAsia="Rubik" w:hAnsi="Rubik" w:cs="Rubik"/>
          <w:sz w:val="22"/>
          <w:szCs w:val="22"/>
        </w:rPr>
        <w:t xml:space="preserve"> P</w:t>
      </w:r>
      <w:r w:rsidRPr="00F176F8">
        <w:rPr>
          <w:rFonts w:ascii="Rubik" w:eastAsia="Rubik" w:hAnsi="Rubik" w:cs="Rubik"/>
          <w:sz w:val="22"/>
          <w:szCs w:val="22"/>
        </w:rPr>
        <w:t>er</w:t>
      </w:r>
      <w:r w:rsidR="001A5F90" w:rsidRPr="00F176F8">
        <w:rPr>
          <w:rFonts w:ascii="Rubik" w:eastAsia="Rubik" w:hAnsi="Rubik" w:cs="Rubik"/>
          <w:sz w:val="22"/>
          <w:szCs w:val="22"/>
        </w:rPr>
        <w:t xml:space="preserve"> 20 anni ASAP</w:t>
      </w:r>
      <w:r w:rsidRPr="00F176F8">
        <w:rPr>
          <w:rFonts w:ascii="Rubik" w:eastAsia="Rubik" w:hAnsi="Rubik" w:cs="Rubik"/>
          <w:sz w:val="22"/>
          <w:szCs w:val="22"/>
        </w:rPr>
        <w:t xml:space="preserve"> ha </w:t>
      </w:r>
      <w:r w:rsidR="00E70D76">
        <w:rPr>
          <w:rFonts w:ascii="Rubik" w:eastAsia="Rubik" w:hAnsi="Rubik" w:cs="Rubik"/>
          <w:sz w:val="22"/>
          <w:szCs w:val="22"/>
        </w:rPr>
        <w:t>rappresentato</w:t>
      </w:r>
      <w:r w:rsidR="001A5F90" w:rsidRPr="00F176F8">
        <w:rPr>
          <w:rFonts w:ascii="Rubik" w:eastAsia="Rubik" w:hAnsi="Rubik" w:cs="Rubik"/>
          <w:sz w:val="22"/>
          <w:szCs w:val="22"/>
        </w:rPr>
        <w:t xml:space="preserve"> l’iniziativa di riferimento nel panorama nazionale, e una delle principali a livello internazionale</w:t>
      </w:r>
      <w:r w:rsidRPr="00F176F8">
        <w:rPr>
          <w:rFonts w:ascii="Rubik" w:eastAsia="Rubik" w:hAnsi="Rubik" w:cs="Rubik"/>
          <w:sz w:val="22"/>
          <w:szCs w:val="22"/>
        </w:rPr>
        <w:t xml:space="preserve">, </w:t>
      </w:r>
      <w:r w:rsidR="001A5F90" w:rsidRPr="00F176F8">
        <w:rPr>
          <w:rFonts w:ascii="Rubik" w:eastAsia="Rubik" w:hAnsi="Rubik" w:cs="Rubik"/>
          <w:sz w:val="22"/>
          <w:szCs w:val="22"/>
        </w:rPr>
        <w:t xml:space="preserve">sul tema della servitizzazione, </w:t>
      </w:r>
      <w:r w:rsidRPr="00F176F8">
        <w:rPr>
          <w:rFonts w:ascii="Rubik" w:eastAsia="Rubik" w:hAnsi="Rubik" w:cs="Rubik"/>
          <w:sz w:val="22"/>
          <w:szCs w:val="22"/>
        </w:rPr>
        <w:t>nelle declinazioni</w:t>
      </w:r>
      <w:r w:rsidR="0031630A" w:rsidRPr="00F176F8">
        <w:rPr>
          <w:rFonts w:ascii="Rubik" w:eastAsia="Rubik" w:hAnsi="Rubik" w:cs="Rubik"/>
          <w:sz w:val="22"/>
          <w:szCs w:val="22"/>
        </w:rPr>
        <w:t xml:space="preserve"> di</w:t>
      </w:r>
      <w:r w:rsidRPr="00F176F8">
        <w:rPr>
          <w:rFonts w:ascii="Rubik" w:eastAsia="Rubik" w:hAnsi="Rubik" w:cs="Rubik"/>
          <w:sz w:val="22"/>
          <w:szCs w:val="22"/>
        </w:rPr>
        <w:t xml:space="preserve"> </w:t>
      </w:r>
      <w:r w:rsidR="0031630A" w:rsidRPr="00F176F8">
        <w:rPr>
          <w:rFonts w:ascii="Rubik" w:eastAsia="Rubik" w:hAnsi="Rubik" w:cs="Rubik"/>
          <w:b/>
          <w:bCs/>
          <w:sz w:val="22"/>
          <w:szCs w:val="22"/>
        </w:rPr>
        <w:t>in</w:t>
      </w:r>
      <w:r w:rsidR="001A5F90" w:rsidRPr="00F176F8">
        <w:rPr>
          <w:rFonts w:ascii="Rubik" w:eastAsia="Rubik" w:hAnsi="Rubik" w:cs="Rubik"/>
          <w:b/>
          <w:bCs/>
          <w:sz w:val="22"/>
          <w:szCs w:val="22"/>
        </w:rPr>
        <w:t>novazione, progettazione, erogazione e gestione dell’offerta di servizi</w:t>
      </w:r>
      <w:r w:rsidR="001A5F90" w:rsidRPr="00F176F8">
        <w:rPr>
          <w:rFonts w:ascii="Rubik" w:eastAsia="Rubik" w:hAnsi="Rubik" w:cs="Rubik"/>
          <w:sz w:val="22"/>
          <w:szCs w:val="22"/>
        </w:rPr>
        <w:t xml:space="preserve"> con una prospettiva trasversale ai settori di business e multidisciplinare</w:t>
      </w:r>
      <w:r w:rsidR="0031630A" w:rsidRPr="00F176F8">
        <w:rPr>
          <w:rFonts w:ascii="Rubik" w:eastAsia="Rubik" w:hAnsi="Rubik" w:cs="Rubik"/>
          <w:sz w:val="22"/>
          <w:szCs w:val="22"/>
        </w:rPr>
        <w:t>;</w:t>
      </w:r>
      <w:r w:rsidRPr="00F176F8">
        <w:rPr>
          <w:rFonts w:ascii="Rubik" w:eastAsia="Rubik" w:hAnsi="Rubik" w:cs="Rubik"/>
          <w:sz w:val="22"/>
          <w:szCs w:val="22"/>
        </w:rPr>
        <w:t xml:space="preserve"> con una community composta da </w:t>
      </w:r>
      <w:r w:rsidR="001A5F90" w:rsidRPr="00F176F8">
        <w:rPr>
          <w:rFonts w:ascii="Rubik" w:eastAsia="Rubik" w:hAnsi="Rubik" w:cs="Rubik"/>
          <w:b/>
          <w:bCs/>
          <w:sz w:val="22"/>
          <w:szCs w:val="22"/>
        </w:rPr>
        <w:t>gruppi di ricerca universitari</w:t>
      </w:r>
      <w:r w:rsidRPr="00F176F8">
        <w:rPr>
          <w:rFonts w:ascii="Rubik" w:eastAsia="Rubik" w:hAnsi="Rubik" w:cs="Rubik"/>
          <w:sz w:val="22"/>
          <w:szCs w:val="22"/>
        </w:rPr>
        <w:t xml:space="preserve">, </w:t>
      </w:r>
      <w:r w:rsidR="001A5F90" w:rsidRPr="00F176F8">
        <w:rPr>
          <w:rFonts w:ascii="Rubik" w:eastAsia="Rubik" w:hAnsi="Rubik" w:cs="Rubik"/>
          <w:sz w:val="22"/>
          <w:szCs w:val="22"/>
        </w:rPr>
        <w:t>aziende, manager e professionisti</w:t>
      </w:r>
      <w:r w:rsidRPr="00F176F8">
        <w:rPr>
          <w:rFonts w:ascii="Rubik" w:eastAsia="Rubik" w:hAnsi="Rubik" w:cs="Rubik"/>
          <w:sz w:val="22"/>
          <w:szCs w:val="22"/>
        </w:rPr>
        <w:t>,</w:t>
      </w:r>
      <w:r w:rsidR="001A5F90" w:rsidRPr="00F176F8">
        <w:rPr>
          <w:rFonts w:ascii="Rubik" w:eastAsia="Rubik" w:hAnsi="Rubik" w:cs="Rubik"/>
          <w:sz w:val="22"/>
          <w:szCs w:val="22"/>
        </w:rPr>
        <w:t xml:space="preserve"> associazioni professionali e di categoria.</w:t>
      </w:r>
    </w:p>
    <w:p w14:paraId="5E41E1EF" w14:textId="5898D83C" w:rsidR="009201F5" w:rsidRDefault="001A5F90" w:rsidP="00F176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ubik" w:eastAsia="Rubik" w:hAnsi="Rubik" w:cs="Rubik"/>
          <w:i/>
          <w:iCs/>
          <w:sz w:val="22"/>
          <w:szCs w:val="22"/>
        </w:rPr>
      </w:pPr>
      <w:r w:rsidRPr="00F176F8">
        <w:rPr>
          <w:rFonts w:ascii="Rubik" w:eastAsia="Rubik" w:hAnsi="Rubik" w:cs="Rubik"/>
          <w:i/>
          <w:iCs/>
          <w:sz w:val="22"/>
          <w:szCs w:val="22"/>
        </w:rPr>
        <w:t>“L</w:t>
      </w:r>
      <w:r w:rsidR="009931CA" w:rsidRPr="00F176F8">
        <w:rPr>
          <w:rFonts w:ascii="Rubik" w:eastAsia="Rubik" w:hAnsi="Rubik" w:cs="Rubik"/>
          <w:i/>
          <w:iCs/>
          <w:sz w:val="22"/>
          <w:szCs w:val="22"/>
        </w:rPr>
        <w:t xml:space="preserve">’istituzione di </w:t>
      </w:r>
      <w:r w:rsidRPr="00F176F8">
        <w:rPr>
          <w:rFonts w:ascii="Rubik" w:eastAsia="Rubik" w:hAnsi="Rubik" w:cs="Rubik"/>
          <w:i/>
          <w:iCs/>
          <w:sz w:val="22"/>
          <w:szCs w:val="22"/>
        </w:rPr>
        <w:t>questo centro</w:t>
      </w:r>
      <w:r w:rsidRPr="00F176F8">
        <w:rPr>
          <w:rFonts w:ascii="Rubik" w:eastAsia="Rubik" w:hAnsi="Rubik" w:cs="Rubik"/>
          <w:sz w:val="22"/>
          <w:szCs w:val="22"/>
        </w:rPr>
        <w:t xml:space="preserve"> – commenta il </w:t>
      </w:r>
      <w:r w:rsidR="0031630A" w:rsidRPr="00F176F8">
        <w:rPr>
          <w:rFonts w:ascii="Rubik" w:eastAsia="Rubik" w:hAnsi="Rubik" w:cs="Rubik"/>
          <w:b/>
          <w:bCs/>
          <w:sz w:val="22"/>
          <w:szCs w:val="22"/>
        </w:rPr>
        <w:t>R</w:t>
      </w:r>
      <w:r w:rsidRPr="00F176F8">
        <w:rPr>
          <w:rFonts w:ascii="Rubik" w:eastAsia="Rubik" w:hAnsi="Rubik" w:cs="Rubik"/>
          <w:b/>
          <w:bCs/>
          <w:sz w:val="22"/>
          <w:szCs w:val="22"/>
        </w:rPr>
        <w:t xml:space="preserve">ettore dell’Università degli </w:t>
      </w:r>
      <w:r w:rsidR="0031630A" w:rsidRPr="00F176F8">
        <w:rPr>
          <w:rFonts w:ascii="Rubik" w:eastAsia="Rubik" w:hAnsi="Rubik" w:cs="Rubik"/>
          <w:b/>
          <w:bCs/>
          <w:sz w:val="22"/>
          <w:szCs w:val="22"/>
        </w:rPr>
        <w:t>s</w:t>
      </w:r>
      <w:r w:rsidRPr="00F176F8">
        <w:rPr>
          <w:rFonts w:ascii="Rubik" w:eastAsia="Rubik" w:hAnsi="Rubik" w:cs="Rubik"/>
          <w:b/>
          <w:bCs/>
          <w:sz w:val="22"/>
          <w:szCs w:val="22"/>
        </w:rPr>
        <w:t xml:space="preserve">tudi di Bergamo, </w:t>
      </w:r>
      <w:r w:rsidR="0031630A" w:rsidRPr="00F176F8">
        <w:rPr>
          <w:rFonts w:ascii="Rubik" w:eastAsia="Rubik" w:hAnsi="Rubik" w:cs="Rubik"/>
          <w:b/>
          <w:bCs/>
          <w:sz w:val="22"/>
          <w:szCs w:val="22"/>
        </w:rPr>
        <w:t xml:space="preserve">Prof. </w:t>
      </w:r>
      <w:r w:rsidRPr="00F176F8">
        <w:rPr>
          <w:rFonts w:ascii="Rubik" w:eastAsia="Rubik" w:hAnsi="Rubik" w:cs="Rubik"/>
          <w:b/>
          <w:bCs/>
          <w:sz w:val="22"/>
          <w:szCs w:val="22"/>
        </w:rPr>
        <w:t xml:space="preserve">Sergio Cavalieri </w:t>
      </w:r>
      <w:r w:rsidRPr="00F176F8">
        <w:rPr>
          <w:rFonts w:ascii="Rubik" w:eastAsia="Rubik" w:hAnsi="Rubik" w:cs="Rubik"/>
          <w:sz w:val="22"/>
          <w:szCs w:val="22"/>
        </w:rPr>
        <w:t xml:space="preserve">– </w:t>
      </w:r>
      <w:r w:rsidR="009931CA" w:rsidRPr="00F176F8">
        <w:rPr>
          <w:rFonts w:ascii="Rubik" w:eastAsia="Rubik" w:hAnsi="Rubik" w:cs="Rubik"/>
          <w:i/>
          <w:iCs/>
          <w:sz w:val="22"/>
          <w:szCs w:val="22"/>
        </w:rPr>
        <w:t>rappresenta</w:t>
      </w:r>
      <w:r w:rsidRPr="00F176F8">
        <w:rPr>
          <w:rFonts w:ascii="Rubik" w:eastAsia="Rubik" w:hAnsi="Rubik" w:cs="Rubik"/>
          <w:i/>
          <w:iCs/>
          <w:sz w:val="22"/>
          <w:szCs w:val="22"/>
        </w:rPr>
        <w:t xml:space="preserve"> il consolidamento di un rapporto pluriennale tra i 4 atenei</w:t>
      </w:r>
      <w:r w:rsidR="009931CA" w:rsidRPr="00F176F8">
        <w:rPr>
          <w:rFonts w:ascii="Rubik" w:eastAsia="Rubik" w:hAnsi="Rubik" w:cs="Rubik"/>
          <w:i/>
          <w:iCs/>
          <w:sz w:val="22"/>
          <w:szCs w:val="22"/>
        </w:rPr>
        <w:t>,</w:t>
      </w:r>
      <w:r w:rsidRPr="00F176F8">
        <w:rPr>
          <w:rFonts w:ascii="Rubik" w:eastAsia="Rubik" w:hAnsi="Rubik" w:cs="Rubik"/>
          <w:i/>
          <w:iCs/>
          <w:sz w:val="22"/>
          <w:szCs w:val="22"/>
        </w:rPr>
        <w:t xml:space="preserve"> che ha permesso di ottenere risultati </w:t>
      </w:r>
      <w:r w:rsidR="009931CA" w:rsidRPr="00F176F8">
        <w:rPr>
          <w:rFonts w:ascii="Rubik" w:eastAsia="Rubik" w:hAnsi="Rubik" w:cs="Rubik"/>
          <w:i/>
          <w:iCs/>
          <w:sz w:val="22"/>
          <w:szCs w:val="22"/>
        </w:rPr>
        <w:t xml:space="preserve">significativi </w:t>
      </w:r>
      <w:r w:rsidRPr="00F176F8">
        <w:rPr>
          <w:rFonts w:ascii="Rubik" w:eastAsia="Rubik" w:hAnsi="Rubik" w:cs="Rubik"/>
          <w:i/>
          <w:iCs/>
          <w:sz w:val="22"/>
          <w:szCs w:val="22"/>
        </w:rPr>
        <w:t>a livello scientifico</w:t>
      </w:r>
      <w:r w:rsidR="009931CA" w:rsidRPr="00F176F8">
        <w:rPr>
          <w:rFonts w:ascii="Rubik" w:eastAsia="Rubik" w:hAnsi="Rubik" w:cs="Rubik"/>
          <w:i/>
          <w:iCs/>
          <w:sz w:val="22"/>
          <w:szCs w:val="22"/>
        </w:rPr>
        <w:t>,</w:t>
      </w:r>
      <w:r w:rsidRPr="00F176F8">
        <w:rPr>
          <w:rFonts w:ascii="Rubik" w:eastAsia="Rubik" w:hAnsi="Rubik" w:cs="Rubik"/>
          <w:i/>
          <w:iCs/>
          <w:sz w:val="22"/>
          <w:szCs w:val="22"/>
        </w:rPr>
        <w:t xml:space="preserve"> nazionale e internazionale. Risultati che non hanno mai fatto perdere di vista al centro l’impatto che la ricerca deve avere sul contesto industriale</w:t>
      </w:r>
      <w:r w:rsidR="0031630A" w:rsidRPr="00F176F8">
        <w:rPr>
          <w:rFonts w:ascii="Rubik" w:eastAsia="Rubik" w:hAnsi="Rubik" w:cs="Rubik"/>
          <w:i/>
          <w:iCs/>
          <w:sz w:val="22"/>
          <w:szCs w:val="22"/>
        </w:rPr>
        <w:t>,</w:t>
      </w:r>
      <w:r w:rsidRPr="00F176F8">
        <w:rPr>
          <w:rFonts w:ascii="Rubik" w:eastAsia="Rubik" w:hAnsi="Rubik" w:cs="Rubik"/>
          <w:i/>
          <w:iCs/>
          <w:sz w:val="22"/>
          <w:szCs w:val="22"/>
        </w:rPr>
        <w:t xml:space="preserve"> in virtù della forte collaborazione e costante partecipazione di aziende di primaria importanza nel contesto manifatturiero alla community. Il centro potrà costituire un nucleo importante per cogliere al meglio le sfide e le opportunità del PNRR e dei progetti di ricerca Europei</w:t>
      </w:r>
      <w:r w:rsidR="00E54BF9">
        <w:rPr>
          <w:rFonts w:ascii="Rubik" w:eastAsia="Rubik" w:hAnsi="Rubik" w:cs="Rubik"/>
          <w:i/>
          <w:iCs/>
          <w:sz w:val="22"/>
          <w:szCs w:val="22"/>
        </w:rPr>
        <w:t>”.</w:t>
      </w:r>
    </w:p>
    <w:p w14:paraId="7E6E7B5A" w14:textId="07584749" w:rsidR="00E54BF9" w:rsidRDefault="00E54BF9" w:rsidP="00F176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ubik" w:eastAsia="Rubik" w:hAnsi="Rubik" w:cs="Rubik"/>
          <w:i/>
          <w:iCs/>
          <w:sz w:val="22"/>
          <w:szCs w:val="22"/>
        </w:rPr>
      </w:pPr>
      <w:r w:rsidRPr="00E54BF9">
        <w:rPr>
          <w:rFonts w:ascii="Rubik" w:eastAsia="Rubik" w:hAnsi="Rubik" w:cs="Rubik"/>
          <w:i/>
          <w:iCs/>
          <w:sz w:val="22"/>
          <w:szCs w:val="22"/>
        </w:rPr>
        <w:t xml:space="preserve">“Il centro istituzionalizza un'esperienza di collaborazione tra le Università e il tessuto industriale particolarmente longeva e di successo – </w:t>
      </w:r>
      <w:r w:rsidRPr="00E54BF9">
        <w:rPr>
          <w:rFonts w:ascii="Rubik" w:eastAsia="Rubik" w:hAnsi="Rubik" w:cs="Rubik"/>
          <w:sz w:val="22"/>
          <w:szCs w:val="22"/>
        </w:rPr>
        <w:t xml:space="preserve">dichiara il </w:t>
      </w:r>
      <w:r w:rsidRPr="00E54BF9">
        <w:rPr>
          <w:rFonts w:ascii="Rubik" w:eastAsia="Rubik" w:hAnsi="Rubik" w:cs="Rubik"/>
          <w:b/>
          <w:bCs/>
          <w:sz w:val="22"/>
          <w:szCs w:val="22"/>
        </w:rPr>
        <w:t>Rettore dell’Università degli Studi di Brescia, Prof. Maurizio Tira</w:t>
      </w:r>
      <w:r w:rsidRPr="00E54BF9">
        <w:rPr>
          <w:rFonts w:ascii="Rubik" w:eastAsia="Rubik" w:hAnsi="Rubik" w:cs="Rubik"/>
          <w:sz w:val="22"/>
          <w:szCs w:val="22"/>
        </w:rPr>
        <w:t xml:space="preserve"> –</w:t>
      </w:r>
      <w:r w:rsidRPr="00E54BF9">
        <w:rPr>
          <w:rFonts w:ascii="Rubik" w:eastAsia="Rubik" w:hAnsi="Rubik" w:cs="Rubik"/>
          <w:i/>
          <w:iCs/>
          <w:sz w:val="22"/>
          <w:szCs w:val="22"/>
        </w:rPr>
        <w:t>. In virtù di questa sua autorevolezza, delle competenze acquisite e del network di relazioni nazionali ed internazionali già sviluppate, il centro potrà porsi come punto di riferimento su una direttrice di trasformazione, quella del passaggio "da prodotto a servizio", che affianca, abilita e supporta le altre grandi direttici in atto: la trasformazione digitale e la transizione ecologica</w:t>
      </w:r>
      <w:r>
        <w:rPr>
          <w:rFonts w:ascii="Rubik" w:eastAsia="Rubik" w:hAnsi="Rubik" w:cs="Rubik"/>
          <w:i/>
          <w:iCs/>
          <w:sz w:val="22"/>
          <w:szCs w:val="22"/>
        </w:rPr>
        <w:t>”.</w:t>
      </w:r>
    </w:p>
    <w:p w14:paraId="36843DED" w14:textId="1D6F9DFC" w:rsidR="00367462" w:rsidRPr="00F176F8" w:rsidRDefault="00367462" w:rsidP="00F176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ubik" w:eastAsia="Rubik" w:hAnsi="Rubik" w:cs="Rubik"/>
          <w:i/>
          <w:iCs/>
          <w:sz w:val="22"/>
          <w:szCs w:val="22"/>
        </w:rPr>
      </w:pPr>
      <w:r w:rsidRPr="00367462">
        <w:rPr>
          <w:rFonts w:ascii="Rubik" w:eastAsia="Rubik" w:hAnsi="Rubik" w:cs="Rubik"/>
          <w:i/>
          <w:iCs/>
          <w:sz w:val="22"/>
          <w:szCs w:val="22"/>
        </w:rPr>
        <w:t xml:space="preserve">“L’Ateneo fiorentino </w:t>
      </w:r>
      <w:r w:rsidRPr="00367462">
        <w:rPr>
          <w:rFonts w:ascii="Rubik" w:eastAsia="Rubik" w:hAnsi="Rubik" w:cs="Rubik"/>
          <w:sz w:val="22"/>
          <w:szCs w:val="22"/>
        </w:rPr>
        <w:t xml:space="preserve">– ha sottolineato la </w:t>
      </w:r>
      <w:r w:rsidRPr="00367462">
        <w:rPr>
          <w:rFonts w:ascii="Rubik" w:eastAsia="Rubik" w:hAnsi="Rubik" w:cs="Rubik"/>
          <w:b/>
          <w:bCs/>
          <w:sz w:val="22"/>
          <w:szCs w:val="22"/>
        </w:rPr>
        <w:t xml:space="preserve">Rettrice dell’Università di Firenze Alessandra Petrucci </w:t>
      </w:r>
      <w:r w:rsidRPr="00367462">
        <w:rPr>
          <w:rFonts w:ascii="Rubik" w:eastAsia="Rubik" w:hAnsi="Rubik" w:cs="Rubik"/>
          <w:sz w:val="22"/>
          <w:szCs w:val="22"/>
        </w:rPr>
        <w:t>-</w:t>
      </w:r>
      <w:r w:rsidRPr="00367462">
        <w:rPr>
          <w:rFonts w:ascii="Rubik" w:eastAsia="Rubik" w:hAnsi="Rubik" w:cs="Rubik"/>
          <w:i/>
          <w:iCs/>
          <w:sz w:val="22"/>
          <w:szCs w:val="22"/>
        </w:rPr>
        <w:t xml:space="preserve"> è fortemente impegnato per lo sviluppo di centri e infrastrutture di ricerca, in partenariato con altri Atenei, italiani e stranieri, in modo da consentire ai nostri ricercatori di collaborare con studiosi di chiara fama in progetti spesso interdisciplinari. La storia </w:t>
      </w:r>
      <w:r w:rsidRPr="00367462">
        <w:rPr>
          <w:rFonts w:ascii="Rubik" w:eastAsia="Rubik" w:hAnsi="Rubik" w:cs="Rubik"/>
          <w:i/>
          <w:iCs/>
          <w:sz w:val="22"/>
          <w:szCs w:val="22"/>
        </w:rPr>
        <w:lastRenderedPageBreak/>
        <w:t>pregressa del Centro Interuniversitario di Ricerca ASAP è una evidente testimonianza della forte attrattività che queste strutture esercitano nei confronti del contesto industriale nazionale e internazionale, per le attività di trasferimento tecnologico e di terza missione”</w:t>
      </w:r>
      <w:r w:rsidR="00E54BF9">
        <w:rPr>
          <w:rFonts w:ascii="Rubik" w:eastAsia="Rubik" w:hAnsi="Rubik" w:cs="Rubik"/>
          <w:i/>
          <w:iCs/>
          <w:sz w:val="22"/>
          <w:szCs w:val="22"/>
        </w:rPr>
        <w:t>.</w:t>
      </w:r>
    </w:p>
    <w:p w14:paraId="5F719C88" w14:textId="6820B670" w:rsidR="00F176F8" w:rsidRPr="00F176F8" w:rsidRDefault="004F2883" w:rsidP="00F176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ubik" w:eastAsia="Rubik" w:hAnsi="Rubik" w:cs="Rubik"/>
          <w:i/>
          <w:iCs/>
          <w:sz w:val="22"/>
          <w:szCs w:val="22"/>
        </w:rPr>
      </w:pPr>
      <w:r>
        <w:rPr>
          <w:rFonts w:ascii="Rubik" w:eastAsia="Rubik" w:hAnsi="Rubik" w:cs="Rubik"/>
          <w:i/>
          <w:iCs/>
          <w:sz w:val="22"/>
          <w:szCs w:val="22"/>
        </w:rPr>
        <w:t xml:space="preserve">“La collaborazione tra il MIUR e gli atenei coinvolti in questo centro di ricerca – </w:t>
      </w:r>
      <w:r w:rsidRPr="002B63B1">
        <w:rPr>
          <w:rFonts w:ascii="Rubik" w:eastAsia="Rubik" w:hAnsi="Rubik" w:cs="Rubik"/>
          <w:iCs/>
          <w:sz w:val="22"/>
          <w:szCs w:val="22"/>
        </w:rPr>
        <w:t xml:space="preserve">secondo il </w:t>
      </w:r>
      <w:r w:rsidRPr="002B63B1">
        <w:rPr>
          <w:rFonts w:ascii="Rubik" w:eastAsia="Rubik" w:hAnsi="Rubik" w:cs="Rubik"/>
          <w:b/>
          <w:iCs/>
          <w:sz w:val="22"/>
          <w:szCs w:val="22"/>
        </w:rPr>
        <w:t>Rettore dell’Università del Piemonte Orientale, professor Gian Carlo Avanzi</w:t>
      </w:r>
      <w:r>
        <w:rPr>
          <w:rFonts w:ascii="Rubik" w:eastAsia="Rubik" w:hAnsi="Rubik" w:cs="Rubik"/>
          <w:i/>
          <w:iCs/>
          <w:sz w:val="22"/>
          <w:szCs w:val="22"/>
        </w:rPr>
        <w:t xml:space="preserve"> – </w:t>
      </w:r>
      <w:r w:rsidR="0027118D">
        <w:rPr>
          <w:rFonts w:ascii="Rubik" w:eastAsia="Rubik" w:hAnsi="Rubik" w:cs="Rubik"/>
          <w:i/>
          <w:iCs/>
          <w:sz w:val="22"/>
          <w:szCs w:val="22"/>
        </w:rPr>
        <w:t>garantisce standard molto elevati per la ricerca che verrà prodotta e messa al servizio della comunità scientifica e delle imprese. In particolare, la stretta connessione con il tessuto produttivo</w:t>
      </w:r>
      <w:r w:rsidR="005B09A6">
        <w:rPr>
          <w:rFonts w:ascii="Rubik" w:eastAsia="Rubik" w:hAnsi="Rubik" w:cs="Rubik"/>
          <w:i/>
          <w:iCs/>
          <w:sz w:val="22"/>
          <w:szCs w:val="22"/>
        </w:rPr>
        <w:t>, già attiva grazie a percorsi di formazione di eccellenza proposti ai professionisti del settore,</w:t>
      </w:r>
      <w:r w:rsidR="0027118D">
        <w:rPr>
          <w:rFonts w:ascii="Rubik" w:eastAsia="Rubik" w:hAnsi="Rubik" w:cs="Rubik"/>
          <w:i/>
          <w:iCs/>
          <w:sz w:val="22"/>
          <w:szCs w:val="22"/>
        </w:rPr>
        <w:t xml:space="preserve"> esprime in modo cristallino la volontà dei nostri atenei di essere protagonisti proattivi della vi</w:t>
      </w:r>
      <w:r w:rsidR="002B63B1">
        <w:rPr>
          <w:rFonts w:ascii="Rubik" w:eastAsia="Rubik" w:hAnsi="Rubik" w:cs="Rubik"/>
          <w:i/>
          <w:iCs/>
          <w:sz w:val="22"/>
          <w:szCs w:val="22"/>
        </w:rPr>
        <w:t xml:space="preserve">ta civile ed economica del Paese, mettendo a frutto </w:t>
      </w:r>
      <w:r w:rsidR="005B09A6">
        <w:rPr>
          <w:rFonts w:ascii="Rubik" w:eastAsia="Rubik" w:hAnsi="Rubik" w:cs="Rubik"/>
          <w:i/>
          <w:iCs/>
          <w:sz w:val="22"/>
          <w:szCs w:val="22"/>
        </w:rPr>
        <w:t>un “contagio delle idee” imprescindibile quando si vogliono ottenere i risultati migliori</w:t>
      </w:r>
      <w:r w:rsidR="00E54BF9">
        <w:rPr>
          <w:rFonts w:ascii="Rubik" w:eastAsia="Rubik" w:hAnsi="Rubik" w:cs="Rubik"/>
          <w:i/>
          <w:iCs/>
          <w:sz w:val="22"/>
          <w:szCs w:val="22"/>
        </w:rPr>
        <w:t>”.</w:t>
      </w:r>
    </w:p>
    <w:sectPr w:rsidR="00F176F8" w:rsidRPr="00F176F8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FF0FB" w14:textId="77777777" w:rsidR="00372582" w:rsidRDefault="00372582">
      <w:r>
        <w:separator/>
      </w:r>
    </w:p>
  </w:endnote>
  <w:endnote w:type="continuationSeparator" w:id="0">
    <w:p w14:paraId="14C82AD1" w14:textId="77777777" w:rsidR="00372582" w:rsidRDefault="0037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altName w:val="Arial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F54E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B5BA3FA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15AE8437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6312F603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C0A1E" w14:textId="77777777" w:rsidR="00372582" w:rsidRDefault="00372582">
      <w:r>
        <w:separator/>
      </w:r>
    </w:p>
  </w:footnote>
  <w:footnote w:type="continuationSeparator" w:id="0">
    <w:p w14:paraId="77B61BA2" w14:textId="77777777" w:rsidR="00372582" w:rsidRDefault="0037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5467F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212A10A6" wp14:editId="65CD62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2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2582">
      <w:rPr>
        <w:rFonts w:ascii="Calibri" w:eastAsia="Calibri" w:hAnsi="Calibri" w:cs="Calibri"/>
        <w:color w:val="000000"/>
      </w:rPr>
      <w:pict w14:anchorId="13546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Header_DirettoreGenerale_Tavola disegno 1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5275" w14:textId="5E455741" w:rsidR="009201F5" w:rsidRDefault="00F81A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0800" behindDoc="0" locked="0" layoutInCell="1" allowOverlap="1" wp14:anchorId="6FF7FD45" wp14:editId="75E88A6E">
          <wp:simplePos x="0" y="0"/>
          <wp:positionH relativeFrom="margin">
            <wp:posOffset>4744720</wp:posOffset>
          </wp:positionH>
          <wp:positionV relativeFrom="paragraph">
            <wp:posOffset>261620</wp:posOffset>
          </wp:positionV>
          <wp:extent cx="1340485" cy="622300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3CD"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824" behindDoc="0" locked="0" layoutInCell="1" allowOverlap="1" wp14:anchorId="7817588A" wp14:editId="25312E8F">
          <wp:simplePos x="0" y="0"/>
          <wp:positionH relativeFrom="column">
            <wp:posOffset>3201670</wp:posOffset>
          </wp:positionH>
          <wp:positionV relativeFrom="paragraph">
            <wp:posOffset>248920</wp:posOffset>
          </wp:positionV>
          <wp:extent cx="1281430" cy="6724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3CD">
      <w:rPr>
        <w:noProof/>
      </w:rPr>
      <w:drawing>
        <wp:anchor distT="0" distB="0" distL="114300" distR="114300" simplePos="0" relativeHeight="251662848" behindDoc="0" locked="0" layoutInCell="1" allowOverlap="1" wp14:anchorId="368984B6" wp14:editId="28A9BDA8">
          <wp:simplePos x="0" y="0"/>
          <wp:positionH relativeFrom="column">
            <wp:posOffset>1334770</wp:posOffset>
          </wp:positionH>
          <wp:positionV relativeFrom="paragraph">
            <wp:posOffset>172720</wp:posOffset>
          </wp:positionV>
          <wp:extent cx="1631950" cy="818515"/>
          <wp:effectExtent l="0" t="0" r="6350" b="635"/>
          <wp:wrapNone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bs-unibg (1)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7951" r="57459" b="18126"/>
                  <a:stretch/>
                </pic:blipFill>
                <pic:spPr bwMode="auto">
                  <a:xfrm>
                    <a:off x="0" y="0"/>
                    <a:ext cx="1631950" cy="818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582">
      <w:rPr>
        <w:rFonts w:ascii="Calibri" w:eastAsia="Calibri" w:hAnsi="Calibri" w:cs="Calibri"/>
        <w:color w:val="000000"/>
      </w:rPr>
      <w:pict w14:anchorId="3C1C5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Header_generico_Tavola disegno 1" style="position:absolute;margin-left:-71.05pt;margin-top:-116.45pt;width:158.75pt;height:116.2pt;z-index:-251658752;mso-wrap-edited:f;mso-width-percent:0;mso-height-percent:0;mso-position-horizontal-relative:margin;mso-position-vertical-relative:margin;mso-width-percent:0;mso-height-percent:0">
          <v:imagedata r:id="rId4" o:title="image2" cropright="45675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68093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5E86CF60" wp14:editId="74CE84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2582">
      <w:rPr>
        <w:rFonts w:ascii="Calibri" w:eastAsia="Calibri" w:hAnsi="Calibri" w:cs="Calibri"/>
        <w:color w:val="000000"/>
      </w:rPr>
      <w:pict w14:anchorId="31C84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Header_DirettoreGenerale_Tavola disegno 1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MDC1MLIwMTE3tbBQ0lEKTi0uzszPAykwrAUAIJpUhSwAAAA="/>
  </w:docVars>
  <w:rsids>
    <w:rsidRoot w:val="009201F5"/>
    <w:rsid w:val="00026B5E"/>
    <w:rsid w:val="000603B7"/>
    <w:rsid w:val="00070D04"/>
    <w:rsid w:val="00112EB1"/>
    <w:rsid w:val="00156572"/>
    <w:rsid w:val="00185B06"/>
    <w:rsid w:val="001A5ECD"/>
    <w:rsid w:val="001A5F90"/>
    <w:rsid w:val="0027118D"/>
    <w:rsid w:val="00281B04"/>
    <w:rsid w:val="002B63B1"/>
    <w:rsid w:val="0031630A"/>
    <w:rsid w:val="00367462"/>
    <w:rsid w:val="00372582"/>
    <w:rsid w:val="003B3778"/>
    <w:rsid w:val="003B541F"/>
    <w:rsid w:val="003C2678"/>
    <w:rsid w:val="004A1258"/>
    <w:rsid w:val="004A6EB2"/>
    <w:rsid w:val="004F2883"/>
    <w:rsid w:val="004F6D9F"/>
    <w:rsid w:val="005B09A6"/>
    <w:rsid w:val="005D05BD"/>
    <w:rsid w:val="00614C58"/>
    <w:rsid w:val="0065080B"/>
    <w:rsid w:val="0077620C"/>
    <w:rsid w:val="007E36E5"/>
    <w:rsid w:val="0088679C"/>
    <w:rsid w:val="008A15CA"/>
    <w:rsid w:val="008A2321"/>
    <w:rsid w:val="008A33CD"/>
    <w:rsid w:val="008F0C1C"/>
    <w:rsid w:val="008F1365"/>
    <w:rsid w:val="009201F5"/>
    <w:rsid w:val="009259B7"/>
    <w:rsid w:val="00952206"/>
    <w:rsid w:val="009931CA"/>
    <w:rsid w:val="009965E2"/>
    <w:rsid w:val="009C05F0"/>
    <w:rsid w:val="009D1480"/>
    <w:rsid w:val="00A02E70"/>
    <w:rsid w:val="00A84C84"/>
    <w:rsid w:val="00AB48D6"/>
    <w:rsid w:val="00B072B1"/>
    <w:rsid w:val="00B12175"/>
    <w:rsid w:val="00B422E5"/>
    <w:rsid w:val="00B42429"/>
    <w:rsid w:val="00B97E37"/>
    <w:rsid w:val="00BB6D13"/>
    <w:rsid w:val="00C17AB6"/>
    <w:rsid w:val="00C27830"/>
    <w:rsid w:val="00CC13C2"/>
    <w:rsid w:val="00D430B2"/>
    <w:rsid w:val="00D93627"/>
    <w:rsid w:val="00E02E57"/>
    <w:rsid w:val="00E54BF9"/>
    <w:rsid w:val="00E624AC"/>
    <w:rsid w:val="00E70D76"/>
    <w:rsid w:val="00E9432E"/>
    <w:rsid w:val="00F176F8"/>
    <w:rsid w:val="00F81AC5"/>
    <w:rsid w:val="00F90703"/>
    <w:rsid w:val="00FD1136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02F4D4"/>
  <w15:docId w15:val="{BF978431-87DB-9242-9A6A-9C2CDDBC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627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9362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3627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B0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Brunelli</dc:creator>
  <cp:lastModifiedBy>Martina Cerea</cp:lastModifiedBy>
  <cp:revision>4</cp:revision>
  <cp:lastPrinted>2022-05-30T13:08:00Z</cp:lastPrinted>
  <dcterms:created xsi:type="dcterms:W3CDTF">2022-06-06T11:33:00Z</dcterms:created>
  <dcterms:modified xsi:type="dcterms:W3CDTF">2022-06-06T14:27:00Z</dcterms:modified>
</cp:coreProperties>
</file>