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5D81E0" w:rsidR="00067705" w:rsidRPr="003F7A9E" w:rsidRDefault="00271EB3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00154DB4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</w:t>
      </w:r>
      <w:r w:rsidR="00271EB3">
        <w:rPr>
          <w:rFonts w:ascii="Rubik" w:hAnsi="Rubik" w:cs="Rubik"/>
          <w:sz w:val="20"/>
        </w:rPr>
        <w:t xml:space="preserve">di </w:t>
      </w:r>
      <w:proofErr w:type="spellStart"/>
      <w:r w:rsidR="00271EB3">
        <w:rPr>
          <w:rFonts w:ascii="Rubik" w:hAnsi="Rubik" w:cs="Rubik"/>
          <w:sz w:val="20"/>
        </w:rPr>
        <w:t>coolaborazione</w:t>
      </w:r>
      <w:proofErr w:type="spellEnd"/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4EBF48AF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>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3909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58"/>
      </w:tblGrid>
      <w:tr w:rsidR="000964A2" w14:paraId="302982E7" w14:textId="79D9D0B6" w:rsidTr="000964A2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3F14F757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INCARICHI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0964A2" w14:paraId="3AEACAAB" w14:textId="1C2BEB20" w:rsidTr="000964A2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14E5FA2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FF" w14:textId="7777777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1D1C94F4" w14:textId="6DBB4983" w:rsidTr="000964A2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753AF6FE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AA" w14:textId="7777777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CDFD952" w14:textId="52A0D7A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55510ED8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0964A2">
        <w:rPr>
          <w:rFonts w:ascii="Rubik Medium" w:hAnsi="Rubik Medium" w:cs="Rubik Medium"/>
          <w:bCs/>
          <w:iCs/>
          <w:color w:val="000000"/>
          <w:sz w:val="20"/>
        </w:rPr>
        <w:t>esterni all’Ateneo di Bergamo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scansione del documento di identità in corso di validità</w:t>
      </w:r>
    </w:p>
    <w:p w14:paraId="047FAB19" w14:textId="3D55632F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3909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58"/>
      </w:tblGrid>
      <w:tr w:rsidR="000964A2" w14:paraId="4CD3602D" w14:textId="77777777" w:rsidTr="001A4E8C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8D58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INCARICHI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5CD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2C40CBB3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0964A2" w14:paraId="500CE74E" w14:textId="77777777" w:rsidTr="001A4E8C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97E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D3C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65CDD8D4" w14:textId="77777777" w:rsidTr="001A4E8C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361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41F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64A2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1EB3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2022-07-07T07:15:00Z</dcterms:created>
  <dcterms:modified xsi:type="dcterms:W3CDTF">2022-10-31T08:09:00Z</dcterms:modified>
</cp:coreProperties>
</file>