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D9168" w14:textId="70B77097" w:rsidR="00A23A14" w:rsidRPr="00256742" w:rsidRDefault="009E511D" w:rsidP="00004F06">
      <w:pPr>
        <w:jc w:val="center"/>
        <w:rPr>
          <w:rFonts w:ascii="Rubik" w:eastAsia="Rubik" w:hAnsi="Rubik" w:cs="Rubik"/>
          <w:sz w:val="22"/>
          <w:szCs w:val="22"/>
          <w:u w:val="single"/>
        </w:rPr>
      </w:pPr>
      <w:r w:rsidRPr="00256742">
        <w:rPr>
          <w:rFonts w:ascii="Rubik" w:eastAsia="Rubik" w:hAnsi="Rubik" w:cs="Rubik"/>
          <w:sz w:val="22"/>
          <w:szCs w:val="22"/>
          <w:u w:val="single"/>
        </w:rPr>
        <w:t>COMUNICATO STAMPA</w:t>
      </w:r>
    </w:p>
    <w:p w14:paraId="6A6BD06D" w14:textId="48675208" w:rsidR="00F805FF" w:rsidRPr="00256742" w:rsidRDefault="00F805FF" w:rsidP="00004F06">
      <w:pPr>
        <w:jc w:val="both"/>
        <w:rPr>
          <w:rFonts w:ascii="Rubik" w:eastAsia="Rubik" w:hAnsi="Rubik" w:cs="Rubik"/>
          <w:u w:val="single"/>
        </w:rPr>
      </w:pPr>
    </w:p>
    <w:p w14:paraId="450254C7" w14:textId="4CC72F4C" w:rsidR="00256742" w:rsidRPr="00256742" w:rsidRDefault="00256742" w:rsidP="00256742">
      <w:pPr>
        <w:jc w:val="center"/>
        <w:rPr>
          <w:rFonts w:ascii="Rubik" w:hAnsi="Rubik" w:cs="Rubik"/>
          <w:b/>
          <w:bCs/>
        </w:rPr>
      </w:pPr>
      <w:r w:rsidRPr="00256742">
        <w:rPr>
          <w:rFonts w:ascii="Rubik" w:hAnsi="Rubik" w:cs="Rubik"/>
          <w:b/>
          <w:bCs/>
        </w:rPr>
        <w:t xml:space="preserve">DOTTORATI INNOVATIVI, AL VIA IL BANDO PER L’ASSEGNAZIONE DI </w:t>
      </w:r>
      <w:r w:rsidR="00DC5AD5">
        <w:rPr>
          <w:rFonts w:ascii="Rubik" w:hAnsi="Rubik" w:cs="Rubik"/>
          <w:b/>
          <w:bCs/>
        </w:rPr>
        <w:t>1</w:t>
      </w:r>
      <w:r w:rsidR="006570EE">
        <w:rPr>
          <w:rFonts w:ascii="Rubik" w:hAnsi="Rubik" w:cs="Rubik"/>
          <w:b/>
          <w:bCs/>
        </w:rPr>
        <w:t>8</w:t>
      </w:r>
      <w:r w:rsidRPr="00256742">
        <w:rPr>
          <w:rFonts w:ascii="Rubik" w:hAnsi="Rubik" w:cs="Rubik"/>
          <w:b/>
          <w:bCs/>
        </w:rPr>
        <w:t xml:space="preserve"> BORSE</w:t>
      </w:r>
      <w:r>
        <w:rPr>
          <w:rFonts w:ascii="Rubik" w:hAnsi="Rubik" w:cs="Rubik"/>
          <w:b/>
          <w:bCs/>
        </w:rPr>
        <w:t xml:space="preserve"> </w:t>
      </w:r>
      <w:r w:rsidRPr="00256742">
        <w:rPr>
          <w:rFonts w:ascii="Rubik" w:hAnsi="Rubik" w:cs="Rubik"/>
          <w:b/>
          <w:bCs/>
        </w:rPr>
        <w:t>DI RICERCA</w:t>
      </w:r>
      <w:r>
        <w:rPr>
          <w:rFonts w:ascii="Rubik" w:hAnsi="Rubik" w:cs="Rubik"/>
          <w:b/>
          <w:bCs/>
        </w:rPr>
        <w:t xml:space="preserve"> </w:t>
      </w:r>
      <w:r w:rsidRPr="00256742">
        <w:rPr>
          <w:rFonts w:ascii="Rubik" w:hAnsi="Rubik" w:cs="Rubik"/>
          <w:b/>
          <w:bCs/>
        </w:rPr>
        <w:t>CON I FONDI DEL PNRR E IL CO-FINANZIAMENTO DI IMPRESE DEL TERRITORIO</w:t>
      </w:r>
    </w:p>
    <w:p w14:paraId="057B2D4A" w14:textId="77777777" w:rsidR="00256742" w:rsidRPr="00256742" w:rsidRDefault="00256742" w:rsidP="00256742">
      <w:pPr>
        <w:jc w:val="center"/>
        <w:rPr>
          <w:rFonts w:ascii="Rubik" w:hAnsi="Rubik" w:cs="Rubik"/>
          <w:b/>
          <w:bCs/>
        </w:rPr>
      </w:pPr>
    </w:p>
    <w:p w14:paraId="75E1D48E" w14:textId="00AD3E68" w:rsidR="00256742" w:rsidRPr="00256742" w:rsidRDefault="00256742" w:rsidP="00256742">
      <w:pPr>
        <w:jc w:val="center"/>
        <w:rPr>
          <w:rFonts w:ascii="Rubik" w:hAnsi="Rubik" w:cs="Rubik"/>
          <w:b/>
          <w:bCs/>
          <w:i/>
          <w:iCs/>
        </w:rPr>
      </w:pPr>
      <w:r w:rsidRPr="00256742">
        <w:rPr>
          <w:rFonts w:ascii="Rubik" w:hAnsi="Rubik" w:cs="Rubik"/>
          <w:b/>
          <w:bCs/>
          <w:i/>
          <w:iCs/>
        </w:rPr>
        <w:t xml:space="preserve">Fino al </w:t>
      </w:r>
      <w:r w:rsidR="00267ABD" w:rsidRPr="00267ABD">
        <w:rPr>
          <w:rFonts w:ascii="Rubik" w:hAnsi="Rubik" w:cs="Rubik"/>
          <w:b/>
          <w:bCs/>
          <w:i/>
          <w:iCs/>
        </w:rPr>
        <w:t>18 luglio</w:t>
      </w:r>
      <w:r w:rsidRPr="00267ABD">
        <w:rPr>
          <w:rFonts w:ascii="Rubik" w:hAnsi="Rubik" w:cs="Rubik"/>
          <w:b/>
          <w:bCs/>
          <w:i/>
          <w:iCs/>
        </w:rPr>
        <w:t xml:space="preserve"> </w:t>
      </w:r>
      <w:r w:rsidRPr="00256742">
        <w:rPr>
          <w:rFonts w:ascii="Rubik" w:hAnsi="Rubik" w:cs="Rubik"/>
          <w:b/>
          <w:bCs/>
          <w:i/>
          <w:iCs/>
        </w:rPr>
        <w:t>la possibilità di presentare la propria candidatura,</w:t>
      </w:r>
      <w:r>
        <w:rPr>
          <w:rFonts w:ascii="Rubik" w:hAnsi="Rubik" w:cs="Rubik"/>
          <w:b/>
          <w:bCs/>
          <w:i/>
          <w:iCs/>
        </w:rPr>
        <w:t xml:space="preserve"> </w:t>
      </w:r>
      <w:r w:rsidRPr="00256742">
        <w:rPr>
          <w:rFonts w:ascii="Rubik" w:hAnsi="Rubik" w:cs="Rubik"/>
          <w:b/>
          <w:bCs/>
          <w:i/>
          <w:iCs/>
        </w:rPr>
        <w:t>per intraprendere un percorso di ricerca applicata</w:t>
      </w:r>
      <w:r>
        <w:rPr>
          <w:rFonts w:ascii="Rubik" w:hAnsi="Rubik" w:cs="Rubik"/>
          <w:b/>
          <w:bCs/>
          <w:i/>
          <w:iCs/>
        </w:rPr>
        <w:t xml:space="preserve"> </w:t>
      </w:r>
      <w:r w:rsidRPr="00256742">
        <w:rPr>
          <w:rFonts w:ascii="Rubik" w:hAnsi="Rubik" w:cs="Rubik"/>
          <w:b/>
          <w:bCs/>
          <w:i/>
          <w:iCs/>
        </w:rPr>
        <w:t>sulla base delle reali esigenze di innovazione espresse dalle aziende</w:t>
      </w:r>
    </w:p>
    <w:p w14:paraId="73A4506E" w14:textId="77777777" w:rsidR="00256742" w:rsidRPr="00256742" w:rsidRDefault="00256742" w:rsidP="00256742">
      <w:pPr>
        <w:jc w:val="center"/>
        <w:rPr>
          <w:rFonts w:ascii="Rubik" w:hAnsi="Rubik" w:cs="Rubik"/>
          <w:b/>
          <w:bCs/>
          <w:i/>
          <w:iCs/>
        </w:rPr>
      </w:pPr>
    </w:p>
    <w:p w14:paraId="01AE8E1E" w14:textId="58833809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i/>
          <w:iCs/>
          <w:sz w:val="22"/>
          <w:szCs w:val="22"/>
        </w:rPr>
        <w:t>Bergamo</w:t>
      </w:r>
      <w:r w:rsidRPr="00A025A6">
        <w:rPr>
          <w:rFonts w:ascii="Rubik" w:hAnsi="Rubik" w:cs="Rubik"/>
          <w:i/>
          <w:iCs/>
          <w:sz w:val="22"/>
          <w:szCs w:val="22"/>
        </w:rPr>
        <w:t xml:space="preserve">, </w:t>
      </w:r>
      <w:r w:rsidR="001D6C55">
        <w:rPr>
          <w:rFonts w:ascii="Rubik" w:hAnsi="Rubik" w:cs="Rubik"/>
          <w:i/>
          <w:iCs/>
          <w:sz w:val="22"/>
          <w:szCs w:val="22"/>
        </w:rPr>
        <w:t xml:space="preserve">20 </w:t>
      </w:r>
      <w:r w:rsidRPr="00A025A6">
        <w:rPr>
          <w:rFonts w:ascii="Rubik" w:hAnsi="Rubik" w:cs="Rubik"/>
          <w:i/>
          <w:iCs/>
          <w:sz w:val="22"/>
          <w:szCs w:val="22"/>
        </w:rPr>
        <w:t>giugno 202</w:t>
      </w:r>
      <w:r w:rsidR="00A025A6" w:rsidRPr="00A025A6">
        <w:rPr>
          <w:rFonts w:ascii="Rubik" w:hAnsi="Rubik" w:cs="Rubik"/>
          <w:i/>
          <w:iCs/>
          <w:sz w:val="22"/>
          <w:szCs w:val="22"/>
        </w:rPr>
        <w:t>4</w:t>
      </w:r>
      <w:r w:rsidRPr="00FF12D5">
        <w:rPr>
          <w:rFonts w:ascii="Rubik" w:hAnsi="Rubik" w:cs="Rubik"/>
          <w:i/>
          <w:iCs/>
          <w:sz w:val="22"/>
          <w:szCs w:val="22"/>
        </w:rPr>
        <w:t xml:space="preserve"> – </w:t>
      </w:r>
      <w:r w:rsidR="006570EE">
        <w:rPr>
          <w:rFonts w:ascii="Rubik" w:hAnsi="Rubik" w:cs="Rubik"/>
          <w:b/>
          <w:bCs/>
          <w:sz w:val="22"/>
          <w:szCs w:val="22"/>
        </w:rPr>
        <w:t xml:space="preserve">Diciotto 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borse </w:t>
      </w:r>
      <w:r w:rsidRPr="00FF12D5">
        <w:rPr>
          <w:rFonts w:ascii="Rubik" w:hAnsi="Rubik" w:cs="Rubik"/>
          <w:sz w:val="22"/>
          <w:szCs w:val="22"/>
        </w:rPr>
        <w:t>per altrettanti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 dottorati di ricerca innovativi</w:t>
      </w:r>
      <w:r w:rsidRPr="00FF12D5">
        <w:rPr>
          <w:rFonts w:ascii="Rubik" w:hAnsi="Rubik" w:cs="Rubik"/>
          <w:sz w:val="22"/>
          <w:szCs w:val="22"/>
        </w:rPr>
        <w:t xml:space="preserve">: è l’opportunità che, grazie a </w:t>
      </w:r>
      <w:r w:rsidRPr="00FF12D5">
        <w:rPr>
          <w:rFonts w:ascii="Rubik" w:hAnsi="Rubik" w:cs="Rubik"/>
          <w:b/>
          <w:bCs/>
          <w:sz w:val="22"/>
          <w:szCs w:val="22"/>
        </w:rPr>
        <w:t>fondi PNRR</w:t>
      </w:r>
      <w:r w:rsidRPr="00FF12D5">
        <w:rPr>
          <w:rFonts w:ascii="Rubik" w:hAnsi="Rubik" w:cs="Rubik"/>
          <w:sz w:val="22"/>
          <w:szCs w:val="22"/>
        </w:rPr>
        <w:t xml:space="preserve"> messi a disposizione dal Ministero dell’Università e della Ricerca, </w:t>
      </w:r>
      <w:r w:rsidRPr="00FF12D5">
        <w:rPr>
          <w:rFonts w:ascii="Rubik" w:hAnsi="Rubik" w:cs="Rubik"/>
          <w:b/>
          <w:bCs/>
          <w:sz w:val="22"/>
          <w:szCs w:val="22"/>
        </w:rPr>
        <w:t>l’Università degli studi di Bergamo</w:t>
      </w:r>
      <w:r w:rsidRPr="00FF12D5">
        <w:rPr>
          <w:rFonts w:ascii="Rubik" w:hAnsi="Rubik" w:cs="Rubik"/>
          <w:sz w:val="22"/>
          <w:szCs w:val="22"/>
        </w:rPr>
        <w:t xml:space="preserve"> offre ad aspiranti ricercatori, in stretta collaborazione con una serie di </w:t>
      </w:r>
      <w:r w:rsidRPr="00FF12D5">
        <w:rPr>
          <w:rFonts w:ascii="Rubik" w:hAnsi="Rubik" w:cs="Rubik"/>
          <w:b/>
          <w:bCs/>
          <w:sz w:val="22"/>
          <w:szCs w:val="22"/>
        </w:rPr>
        <w:t>aziende del territorio</w:t>
      </w:r>
      <w:r w:rsidRPr="00FF12D5">
        <w:rPr>
          <w:rFonts w:ascii="Rubik" w:hAnsi="Rubik" w:cs="Rubik"/>
          <w:sz w:val="22"/>
          <w:szCs w:val="22"/>
        </w:rPr>
        <w:t>, co-finanziatrici (e co-protagoniste) dell’iniziativa.</w:t>
      </w:r>
    </w:p>
    <w:p w14:paraId="228A0C82" w14:textId="77777777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</w:p>
    <w:p w14:paraId="208EB5A5" w14:textId="1AE72503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>Si tratta del X</w:t>
      </w:r>
      <w:r w:rsidR="00DC5AD5">
        <w:rPr>
          <w:rFonts w:ascii="Rubik" w:hAnsi="Rubik" w:cs="Rubik"/>
          <w:sz w:val="22"/>
          <w:szCs w:val="22"/>
        </w:rPr>
        <w:t>L</w:t>
      </w:r>
      <w:r w:rsidRPr="00FF12D5">
        <w:rPr>
          <w:rFonts w:ascii="Rubik" w:hAnsi="Rubik" w:cs="Rubik"/>
          <w:sz w:val="22"/>
          <w:szCs w:val="22"/>
        </w:rPr>
        <w:t xml:space="preserve"> ciclo dei cosiddetti “</w:t>
      </w:r>
      <w:r w:rsidRPr="00FF12D5">
        <w:rPr>
          <w:rFonts w:ascii="Rubik" w:hAnsi="Rubik" w:cs="Rubik"/>
          <w:b/>
          <w:bCs/>
          <w:sz w:val="22"/>
          <w:szCs w:val="22"/>
        </w:rPr>
        <w:t>dottorati innovativi</w:t>
      </w:r>
      <w:r w:rsidRPr="00FF12D5">
        <w:rPr>
          <w:rFonts w:ascii="Rubik" w:hAnsi="Rubik" w:cs="Rubik"/>
          <w:sz w:val="22"/>
          <w:szCs w:val="22"/>
        </w:rPr>
        <w:t xml:space="preserve">”. Le </w:t>
      </w:r>
      <w:r w:rsidR="006570EE">
        <w:rPr>
          <w:rFonts w:ascii="Rubik" w:hAnsi="Rubik" w:cs="Rubik"/>
          <w:sz w:val="22"/>
          <w:szCs w:val="22"/>
        </w:rPr>
        <w:t>18</w:t>
      </w:r>
      <w:r w:rsidRPr="00FF12D5">
        <w:rPr>
          <w:rFonts w:ascii="Rubik" w:hAnsi="Rubik" w:cs="Rubik"/>
          <w:sz w:val="22"/>
          <w:szCs w:val="22"/>
        </w:rPr>
        <w:t xml:space="preserve"> borse co-finanziate si inseriscono nel programma P</w:t>
      </w:r>
      <w:r w:rsidR="00DC5AD5">
        <w:rPr>
          <w:rFonts w:ascii="Rubik" w:hAnsi="Rubik" w:cs="Rubik"/>
          <w:sz w:val="22"/>
          <w:szCs w:val="22"/>
        </w:rPr>
        <w:t>NRR</w:t>
      </w:r>
      <w:r w:rsidRPr="00FF12D5">
        <w:rPr>
          <w:rFonts w:ascii="Rubik" w:hAnsi="Rubik" w:cs="Rubik"/>
          <w:sz w:val="22"/>
          <w:szCs w:val="22"/>
        </w:rPr>
        <w:t xml:space="preserve"> - Missione 4, componente 2, Investimento 3.3, relativo a dottorati industriali che rispondono ai </w:t>
      </w:r>
      <w:r w:rsidRPr="00FF12D5">
        <w:rPr>
          <w:rFonts w:ascii="Rubik" w:hAnsi="Rubik" w:cs="Rubik"/>
          <w:b/>
          <w:bCs/>
          <w:sz w:val="22"/>
          <w:szCs w:val="22"/>
        </w:rPr>
        <w:t>fabbisogni di innovazione delle imprese</w:t>
      </w:r>
      <w:r w:rsidRPr="00FF12D5">
        <w:rPr>
          <w:rFonts w:ascii="Rubik" w:hAnsi="Rubik" w:cs="Rubik"/>
          <w:sz w:val="22"/>
          <w:szCs w:val="22"/>
        </w:rPr>
        <w:t xml:space="preserve"> e </w:t>
      </w:r>
      <w:r w:rsidRPr="00FF12D5">
        <w:rPr>
          <w:rFonts w:ascii="Rubik" w:hAnsi="Rubik" w:cs="Rubik"/>
          <w:b/>
          <w:bCs/>
          <w:sz w:val="22"/>
          <w:szCs w:val="22"/>
        </w:rPr>
        <w:t>promuovono l’assunzione di ricercatori in azienda</w:t>
      </w:r>
      <w:r w:rsidRPr="00FF12D5">
        <w:rPr>
          <w:rFonts w:ascii="Rubik" w:hAnsi="Rubik" w:cs="Rubik"/>
          <w:sz w:val="22"/>
          <w:szCs w:val="22"/>
        </w:rPr>
        <w:t xml:space="preserve">. La chiave del successo dei dottorati innovativi è proprio nella </w:t>
      </w:r>
      <w:r w:rsidRPr="00FF12D5">
        <w:rPr>
          <w:rFonts w:ascii="Rubik" w:hAnsi="Rubik" w:cs="Rubik"/>
          <w:b/>
          <w:bCs/>
          <w:sz w:val="22"/>
          <w:szCs w:val="22"/>
        </w:rPr>
        <w:t>stretta collaborazione con il mondo delle imprese</w:t>
      </w:r>
      <w:r w:rsidRPr="00FF12D5">
        <w:rPr>
          <w:rFonts w:ascii="Rubik" w:hAnsi="Rubik" w:cs="Rubik"/>
          <w:sz w:val="22"/>
          <w:szCs w:val="22"/>
        </w:rPr>
        <w:t xml:space="preserve">: i temi e i percorsi formativi sono infatti definiti con il forte coinvolgimento dell’azienda co-finanziatrice. L’obiettivo è condurre progetti di ricerca applicata che, a partire dalle reali esigenze presenti e future delle aziende del territorio, sviluppino tecnologie, metodi e approcci innovativi. In </w:t>
      </w:r>
      <w:r w:rsidR="00B95EEE">
        <w:rPr>
          <w:rFonts w:ascii="Rubik" w:hAnsi="Rubik" w:cs="Rubik"/>
          <w:sz w:val="22"/>
          <w:szCs w:val="22"/>
        </w:rPr>
        <w:t xml:space="preserve">poche </w:t>
      </w:r>
      <w:r w:rsidRPr="00FF12D5">
        <w:rPr>
          <w:rFonts w:ascii="Rubik" w:hAnsi="Rubik" w:cs="Rubik"/>
          <w:sz w:val="22"/>
          <w:szCs w:val="22"/>
        </w:rPr>
        <w:t>parol</w:t>
      </w:r>
      <w:r w:rsidR="00B95EEE">
        <w:rPr>
          <w:rFonts w:ascii="Rubik" w:hAnsi="Rubik" w:cs="Rubik"/>
          <w:sz w:val="22"/>
          <w:szCs w:val="22"/>
        </w:rPr>
        <w:t>e</w:t>
      </w:r>
      <w:r w:rsidRPr="00FF12D5">
        <w:rPr>
          <w:rFonts w:ascii="Rubik" w:hAnsi="Rubik" w:cs="Rubik"/>
          <w:sz w:val="22"/>
          <w:szCs w:val="22"/>
        </w:rPr>
        <w:t xml:space="preserve">: </w:t>
      </w:r>
      <w:r w:rsidRPr="00FF12D5">
        <w:rPr>
          <w:rFonts w:ascii="Rubik" w:hAnsi="Rubik" w:cs="Rubik"/>
          <w:b/>
          <w:bCs/>
          <w:sz w:val="22"/>
          <w:szCs w:val="22"/>
        </w:rPr>
        <w:t>progetti che servano davvero, concretamente, alla crescita e allo sviluppo delle imprese che li co-finanziano</w:t>
      </w:r>
      <w:r w:rsidRPr="00FF12D5">
        <w:rPr>
          <w:rFonts w:ascii="Rubik" w:hAnsi="Rubik" w:cs="Rubik"/>
          <w:sz w:val="22"/>
          <w:szCs w:val="22"/>
        </w:rPr>
        <w:t>. Un modo di valorizzare sempre di più la componente ricerca all’interno delle aziende, riconoscendone il valore e il ruolo strategico fondamentale.</w:t>
      </w:r>
    </w:p>
    <w:p w14:paraId="2E7091A7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1DDB3CE2" w14:textId="7B43FE09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I dottorati hanno </w:t>
      </w:r>
      <w:r w:rsidRPr="00FF12D5">
        <w:rPr>
          <w:rFonts w:ascii="Rubik" w:hAnsi="Rubik" w:cs="Rubik"/>
          <w:b/>
          <w:bCs/>
          <w:sz w:val="22"/>
          <w:szCs w:val="22"/>
        </w:rPr>
        <w:t>durata di 3 anni</w:t>
      </w:r>
      <w:r w:rsidRPr="00FF12D5">
        <w:rPr>
          <w:rFonts w:ascii="Rubik" w:hAnsi="Rubik" w:cs="Rubik"/>
          <w:sz w:val="22"/>
          <w:szCs w:val="22"/>
        </w:rPr>
        <w:t xml:space="preserve"> e prevedono in prima battuta </w:t>
      </w:r>
      <w:r w:rsidRPr="00FF12D5">
        <w:rPr>
          <w:rFonts w:ascii="Rubik" w:hAnsi="Rubik" w:cs="Rubik"/>
          <w:b/>
          <w:bCs/>
          <w:sz w:val="22"/>
          <w:szCs w:val="22"/>
        </w:rPr>
        <w:t>un periodo di studio e di ricerca in azienda</w:t>
      </w:r>
      <w:r w:rsidRPr="00FF12D5">
        <w:rPr>
          <w:rFonts w:ascii="Rubik" w:hAnsi="Rubik" w:cs="Rubik"/>
          <w:sz w:val="22"/>
          <w:szCs w:val="22"/>
        </w:rPr>
        <w:t xml:space="preserve">, della durata che va da un minimo di 6 a un massimo di 18 mesi; in una seconda fase il progetto prosegue </w:t>
      </w:r>
      <w:r w:rsidRPr="00FF12D5">
        <w:rPr>
          <w:rFonts w:ascii="Rubik" w:hAnsi="Rubik" w:cs="Rubik"/>
          <w:b/>
          <w:bCs/>
          <w:sz w:val="22"/>
          <w:szCs w:val="22"/>
        </w:rPr>
        <w:t>presso Università o centri di ricerca all’estero</w:t>
      </w:r>
      <w:r w:rsidRPr="00FF12D5">
        <w:rPr>
          <w:rFonts w:ascii="Rubik" w:hAnsi="Rubik" w:cs="Rubik"/>
          <w:sz w:val="22"/>
          <w:szCs w:val="22"/>
        </w:rPr>
        <w:t>, anche in questo caso per un periodo compreso tra i 6 mesi e l’anno e mezzo.</w:t>
      </w:r>
    </w:p>
    <w:p w14:paraId="5786066A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7EBB6E95" w14:textId="7D6EA6F0" w:rsidR="00256742" w:rsidRPr="00FF12D5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Si accede al dottorato di ricerca tramite un 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concorso pubblico indetto dall’Università degli </w:t>
      </w:r>
      <w:r w:rsidR="00414613" w:rsidRPr="00FF12D5">
        <w:rPr>
          <w:rFonts w:ascii="Rubik" w:hAnsi="Rubik" w:cs="Rubik"/>
          <w:b/>
          <w:bCs/>
          <w:sz w:val="22"/>
          <w:szCs w:val="22"/>
        </w:rPr>
        <w:t>s</w:t>
      </w:r>
      <w:r w:rsidRPr="00FF12D5">
        <w:rPr>
          <w:rFonts w:ascii="Rubik" w:hAnsi="Rubik" w:cs="Rubik"/>
          <w:b/>
          <w:bCs/>
          <w:sz w:val="22"/>
          <w:szCs w:val="22"/>
        </w:rPr>
        <w:t>tudi di Bergamo</w:t>
      </w:r>
      <w:r w:rsidRPr="00FF12D5">
        <w:rPr>
          <w:rFonts w:ascii="Rubik" w:hAnsi="Rubik" w:cs="Rubik"/>
          <w:sz w:val="22"/>
          <w:szCs w:val="22"/>
        </w:rPr>
        <w:t>. Il bando è stato pubblicato martedì</w:t>
      </w:r>
      <w:r w:rsidR="00DC5AD5">
        <w:rPr>
          <w:rFonts w:ascii="Rubik" w:hAnsi="Rubik" w:cs="Rubik"/>
          <w:sz w:val="22"/>
          <w:szCs w:val="22"/>
        </w:rPr>
        <w:t xml:space="preserve"> 18</w:t>
      </w:r>
      <w:r w:rsidRPr="00FF12D5">
        <w:rPr>
          <w:rFonts w:ascii="Rubik" w:hAnsi="Rubik" w:cs="Rubik"/>
          <w:sz w:val="22"/>
          <w:szCs w:val="22"/>
        </w:rPr>
        <w:t xml:space="preserve"> giugno e 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scadrà il </w:t>
      </w:r>
      <w:r w:rsidR="00267ABD">
        <w:rPr>
          <w:rFonts w:ascii="Rubik" w:hAnsi="Rubik" w:cs="Rubik"/>
          <w:b/>
          <w:bCs/>
          <w:sz w:val="22"/>
          <w:szCs w:val="22"/>
        </w:rPr>
        <w:t>18 luglio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 202</w:t>
      </w:r>
      <w:r w:rsidR="00DC5AD5">
        <w:rPr>
          <w:rFonts w:ascii="Rubik" w:hAnsi="Rubik" w:cs="Rubik"/>
          <w:b/>
          <w:bCs/>
          <w:sz w:val="22"/>
          <w:szCs w:val="22"/>
        </w:rPr>
        <w:t>4</w:t>
      </w:r>
      <w:r w:rsidRPr="00FF12D5">
        <w:rPr>
          <w:rFonts w:ascii="Rubik" w:hAnsi="Rubik" w:cs="Rubik"/>
          <w:sz w:val="22"/>
          <w:szCs w:val="22"/>
        </w:rPr>
        <w:t>. I candidati potranno concorrere per un massimo di tre temi di ricerca tra quelli proposti all’interno di un medesimo Corso di dottorato (le indicazioni dettagliate al link</w:t>
      </w:r>
      <w:r w:rsidR="00267ABD" w:rsidRPr="00267ABD">
        <w:rPr>
          <w:rFonts w:ascii="Rubik" w:hAnsi="Rubik" w:cs="Rubik"/>
          <w:sz w:val="22"/>
          <w:szCs w:val="22"/>
        </w:rPr>
        <w:t xml:space="preserve">: </w:t>
      </w:r>
      <w:hyperlink r:id="rId9" w:history="1">
        <w:r w:rsidR="00267ABD" w:rsidRPr="0026278F">
          <w:rPr>
            <w:rStyle w:val="Collegamentoipertestuale"/>
            <w:rFonts w:ascii="Rubik" w:hAnsi="Rubik" w:cs="Rubik"/>
            <w:sz w:val="22"/>
            <w:szCs w:val="22"/>
          </w:rPr>
          <w:t>https://www.unibg.it/bandi/bando-concorso-lammissione-corsi-dottorato-ricerca-borse-aggiuntive-relative-xl-ciclo</w:t>
        </w:r>
      </w:hyperlink>
      <w:r w:rsidRPr="00267ABD">
        <w:rPr>
          <w:rFonts w:ascii="Rubik" w:hAnsi="Rubik" w:cs="Rubik"/>
          <w:sz w:val="22"/>
          <w:szCs w:val="22"/>
        </w:rPr>
        <w:t>).</w:t>
      </w:r>
      <w:r w:rsidRPr="00FF12D5">
        <w:rPr>
          <w:rFonts w:ascii="Rubik" w:hAnsi="Rubik" w:cs="Rubik"/>
          <w:sz w:val="22"/>
          <w:szCs w:val="22"/>
        </w:rPr>
        <w:t xml:space="preserve"> </w:t>
      </w:r>
    </w:p>
    <w:p w14:paraId="1CDD62BC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7C08E1CD" w14:textId="0AA7E59A" w:rsidR="00B8103A" w:rsidRPr="00FF12D5" w:rsidRDefault="00785440" w:rsidP="00B8103A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Questi i </w:t>
      </w:r>
      <w:r w:rsidR="00256742" w:rsidRPr="00FF12D5">
        <w:rPr>
          <w:rFonts w:ascii="Rubik" w:hAnsi="Rubik" w:cs="Rubik"/>
          <w:b/>
          <w:bCs/>
          <w:sz w:val="22"/>
          <w:szCs w:val="22"/>
        </w:rPr>
        <w:t>temi di ricerca</w:t>
      </w:r>
      <w:r w:rsidRPr="00FF12D5">
        <w:rPr>
          <w:rFonts w:ascii="Rubik" w:hAnsi="Rubik" w:cs="Rubik"/>
          <w:sz w:val="22"/>
          <w:szCs w:val="22"/>
        </w:rPr>
        <w:t xml:space="preserve"> delle borse finanziate</w:t>
      </w:r>
      <w:r w:rsidR="00256742" w:rsidRPr="00FF12D5">
        <w:rPr>
          <w:rFonts w:ascii="Rubik" w:hAnsi="Rubik" w:cs="Rubik"/>
          <w:sz w:val="22"/>
          <w:szCs w:val="22"/>
        </w:rPr>
        <w:t xml:space="preserve">: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Salute e longevità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DC5AD5">
        <w:rPr>
          <w:rFonts w:ascii="Rubik" w:hAnsi="Rubik" w:cs="Rubik"/>
          <w:sz w:val="22"/>
          <w:szCs w:val="22"/>
        </w:rPr>
        <w:t>s</w:t>
      </w:r>
      <w:r w:rsidR="00DC5AD5" w:rsidRPr="00DC5AD5">
        <w:rPr>
          <w:rFonts w:ascii="Rubik" w:hAnsi="Rubik" w:cs="Rubik"/>
          <w:sz w:val="22"/>
          <w:szCs w:val="22"/>
        </w:rPr>
        <w:t>viluppo di modelli di intelligenza artificiale connessi alle patologie degenerative del sistema nervoso</w:t>
      </w:r>
      <w:r w:rsidR="00B8103A" w:rsidRPr="00FF12D5">
        <w:rPr>
          <w:rFonts w:ascii="Rubik" w:hAnsi="Rubik" w:cs="Rubik"/>
          <w:sz w:val="22"/>
          <w:szCs w:val="22"/>
        </w:rPr>
        <w:t xml:space="preserve">),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Ingegneria e scienze applicate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4B3326">
        <w:rPr>
          <w:rFonts w:ascii="Rubik" w:hAnsi="Rubik" w:cs="Rubik"/>
          <w:sz w:val="22"/>
          <w:szCs w:val="22"/>
        </w:rPr>
        <w:t xml:space="preserve">dai </w:t>
      </w:r>
      <w:r w:rsidR="00DC5AD5">
        <w:rPr>
          <w:rFonts w:ascii="Rubik" w:hAnsi="Rubik" w:cs="Rubik"/>
          <w:sz w:val="22"/>
          <w:szCs w:val="22"/>
        </w:rPr>
        <w:t>materiali</w:t>
      </w:r>
      <w:r w:rsidR="004B3326">
        <w:rPr>
          <w:rFonts w:ascii="Rubik" w:hAnsi="Rubik" w:cs="Rubik"/>
          <w:sz w:val="22"/>
          <w:szCs w:val="22"/>
        </w:rPr>
        <w:t xml:space="preserve"> avanzati</w:t>
      </w:r>
      <w:r w:rsidR="00DC5AD5">
        <w:rPr>
          <w:rFonts w:ascii="Rubik" w:hAnsi="Rubik" w:cs="Rubik"/>
          <w:sz w:val="22"/>
          <w:szCs w:val="22"/>
        </w:rPr>
        <w:t xml:space="preserve"> per la </w:t>
      </w:r>
      <w:r w:rsidR="004B3326">
        <w:rPr>
          <w:rFonts w:ascii="Rubik" w:hAnsi="Rubik" w:cs="Rubik"/>
          <w:sz w:val="22"/>
          <w:szCs w:val="22"/>
        </w:rPr>
        <w:t>manifattura additiva, alle metriche per valutare l’impatto ambientale degli infissi, fino al recupero delle acque piovane</w:t>
      </w:r>
      <w:r w:rsidR="00B8103A" w:rsidRPr="00FF12D5">
        <w:rPr>
          <w:rFonts w:ascii="Rubik" w:hAnsi="Rubik" w:cs="Rubik"/>
          <w:sz w:val="22"/>
          <w:szCs w:val="22"/>
        </w:rPr>
        <w:t xml:space="preserve">),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Ingegneria gestionale e della produzione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DC6FC9" w:rsidRPr="00FF12D5">
        <w:rPr>
          <w:rFonts w:ascii="Rubik" w:hAnsi="Rubik" w:cs="Rubik"/>
          <w:sz w:val="22"/>
          <w:szCs w:val="22"/>
        </w:rPr>
        <w:t>dall</w:t>
      </w:r>
      <w:r w:rsidR="004B3326">
        <w:rPr>
          <w:rFonts w:ascii="Rubik" w:hAnsi="Rubik" w:cs="Rubik"/>
          <w:sz w:val="22"/>
          <w:szCs w:val="22"/>
        </w:rPr>
        <w:t xml:space="preserve">’utilizzo dell’intelligenza artificiale a supporto dei servizi industriali e delle decisioni cliniche, fino al </w:t>
      </w:r>
      <w:proofErr w:type="spellStart"/>
      <w:r w:rsidR="004B3326">
        <w:rPr>
          <w:rFonts w:ascii="Rubik" w:hAnsi="Rubik" w:cs="Rubik"/>
          <w:sz w:val="22"/>
          <w:szCs w:val="22"/>
        </w:rPr>
        <w:t>digital</w:t>
      </w:r>
      <w:proofErr w:type="spellEnd"/>
      <w:r w:rsidR="004B3326">
        <w:rPr>
          <w:rFonts w:ascii="Rubik" w:hAnsi="Rubik" w:cs="Rubik"/>
          <w:sz w:val="22"/>
          <w:szCs w:val="22"/>
        </w:rPr>
        <w:t xml:space="preserve"> </w:t>
      </w:r>
      <w:proofErr w:type="spellStart"/>
      <w:r w:rsidR="004B3326">
        <w:rPr>
          <w:rFonts w:ascii="Rubik" w:hAnsi="Rubik" w:cs="Rubik"/>
          <w:sz w:val="22"/>
          <w:szCs w:val="22"/>
        </w:rPr>
        <w:t>sustainabilty</w:t>
      </w:r>
      <w:proofErr w:type="spellEnd"/>
      <w:r w:rsidR="004B3326">
        <w:rPr>
          <w:rFonts w:ascii="Rubik" w:hAnsi="Rubik" w:cs="Rubik"/>
          <w:sz w:val="22"/>
          <w:szCs w:val="22"/>
        </w:rPr>
        <w:t xml:space="preserve"> e alle competenze in ambito Industria 5.0)</w:t>
      </w:r>
      <w:r w:rsidR="009B0F7B">
        <w:rPr>
          <w:rFonts w:ascii="Rubik" w:hAnsi="Rubik" w:cs="Rubik"/>
          <w:sz w:val="22"/>
          <w:szCs w:val="22"/>
        </w:rPr>
        <w:t xml:space="preserve">, </w:t>
      </w:r>
      <w:r w:rsidR="00B8103A" w:rsidRPr="00FF12D5">
        <w:rPr>
          <w:rFonts w:ascii="Rubik" w:hAnsi="Rubik" w:cs="Rubik"/>
          <w:b/>
          <w:bCs/>
          <w:sz w:val="22"/>
          <w:szCs w:val="22"/>
        </w:rPr>
        <w:t>Management Accounting and Finance</w:t>
      </w:r>
      <w:r w:rsidR="00B8103A" w:rsidRPr="00FF12D5">
        <w:rPr>
          <w:rFonts w:ascii="Rubik" w:hAnsi="Rubik" w:cs="Rubik"/>
          <w:sz w:val="22"/>
          <w:szCs w:val="22"/>
        </w:rPr>
        <w:t xml:space="preserve"> (</w:t>
      </w:r>
      <w:r w:rsidR="009B0F7B">
        <w:rPr>
          <w:rFonts w:ascii="Rubik" w:hAnsi="Rubik" w:cs="Rubik"/>
          <w:sz w:val="22"/>
          <w:szCs w:val="22"/>
        </w:rPr>
        <w:t xml:space="preserve">impatto del turismo e </w:t>
      </w:r>
      <w:r w:rsidR="0095762E">
        <w:rPr>
          <w:rFonts w:ascii="Rubik" w:hAnsi="Rubik" w:cs="Rubik"/>
          <w:sz w:val="22"/>
          <w:szCs w:val="22"/>
        </w:rPr>
        <w:t>fattori di attrattività del territorio</w:t>
      </w:r>
      <w:r w:rsidR="00B8103A" w:rsidRPr="00FF12D5">
        <w:rPr>
          <w:rFonts w:ascii="Rubik" w:hAnsi="Rubik" w:cs="Rubik"/>
          <w:sz w:val="22"/>
          <w:szCs w:val="22"/>
        </w:rPr>
        <w:t xml:space="preserve">), </w:t>
      </w:r>
      <w:r w:rsidR="00B54D30" w:rsidRPr="00FF12D5">
        <w:rPr>
          <w:rFonts w:ascii="Rubik" w:hAnsi="Rubik" w:cs="Rubik"/>
          <w:b/>
          <w:bCs/>
          <w:sz w:val="22"/>
          <w:szCs w:val="22"/>
        </w:rPr>
        <w:t>Scienze giuridiche</w:t>
      </w:r>
      <w:r w:rsidR="00B54D30" w:rsidRPr="00FF12D5">
        <w:rPr>
          <w:rFonts w:ascii="Rubik" w:hAnsi="Rubik" w:cs="Rubik"/>
          <w:sz w:val="22"/>
          <w:szCs w:val="22"/>
        </w:rPr>
        <w:t xml:space="preserve"> (</w:t>
      </w:r>
      <w:r w:rsidR="0095762E">
        <w:rPr>
          <w:rFonts w:ascii="Rubik" w:hAnsi="Rubik" w:cs="Rubik"/>
          <w:sz w:val="22"/>
          <w:szCs w:val="22"/>
        </w:rPr>
        <w:t xml:space="preserve">aspetti storici, etici e giuridici </w:t>
      </w:r>
      <w:r w:rsidR="0095762E">
        <w:rPr>
          <w:rFonts w:ascii="Rubik" w:hAnsi="Rubik" w:cs="Rubik"/>
          <w:sz w:val="22"/>
          <w:szCs w:val="22"/>
        </w:rPr>
        <w:lastRenderedPageBreak/>
        <w:t>dell’associazionismo e del terzo settore</w:t>
      </w:r>
      <w:r w:rsidR="00B54D30" w:rsidRPr="00FF12D5">
        <w:rPr>
          <w:rFonts w:ascii="Rubik" w:hAnsi="Rubik" w:cs="Rubik"/>
          <w:sz w:val="22"/>
          <w:szCs w:val="22"/>
        </w:rPr>
        <w:t>)</w:t>
      </w:r>
      <w:r w:rsidR="0095762E">
        <w:rPr>
          <w:rFonts w:ascii="Rubik" w:hAnsi="Rubik" w:cs="Rubik"/>
          <w:sz w:val="22"/>
          <w:szCs w:val="22"/>
        </w:rPr>
        <w:t xml:space="preserve">, </w:t>
      </w:r>
      <w:r w:rsidR="00B54D30" w:rsidRPr="00FF12D5">
        <w:rPr>
          <w:rFonts w:ascii="Rubik" w:hAnsi="Rubik" w:cs="Rubik"/>
          <w:b/>
          <w:bCs/>
          <w:sz w:val="22"/>
          <w:szCs w:val="22"/>
        </w:rPr>
        <w:t>Scienze della persona e nuovo welfare</w:t>
      </w:r>
      <w:r w:rsidR="00B54D30" w:rsidRPr="00FF12D5">
        <w:rPr>
          <w:rFonts w:ascii="Rubik" w:hAnsi="Rubik" w:cs="Rubik"/>
          <w:sz w:val="22"/>
          <w:szCs w:val="22"/>
        </w:rPr>
        <w:t xml:space="preserve"> (</w:t>
      </w:r>
      <w:r w:rsidR="0095762E">
        <w:rPr>
          <w:rFonts w:ascii="Rubik" w:hAnsi="Rubik" w:cs="Rubik"/>
          <w:sz w:val="22"/>
          <w:szCs w:val="22"/>
        </w:rPr>
        <w:t>welfare d’iniziativa e ruoli di leadership nelle aziende</w:t>
      </w:r>
      <w:r w:rsidR="00B54D30" w:rsidRPr="00FF12D5">
        <w:rPr>
          <w:rFonts w:ascii="Rubik" w:hAnsi="Rubik" w:cs="Rubik"/>
          <w:sz w:val="22"/>
          <w:szCs w:val="22"/>
        </w:rPr>
        <w:t>)</w:t>
      </w:r>
      <w:r w:rsidR="0095762E">
        <w:rPr>
          <w:rFonts w:ascii="Rubik" w:hAnsi="Rubik" w:cs="Rubik"/>
          <w:sz w:val="22"/>
          <w:szCs w:val="22"/>
        </w:rPr>
        <w:t xml:space="preserve">, e </w:t>
      </w:r>
      <w:r w:rsidR="0095762E" w:rsidRPr="0095762E">
        <w:rPr>
          <w:rFonts w:ascii="Rubik" w:hAnsi="Rubik" w:cs="Rubik"/>
          <w:b/>
          <w:bCs/>
          <w:sz w:val="22"/>
          <w:szCs w:val="22"/>
        </w:rPr>
        <w:t>Landscape Studies for Global and Local Challenges</w:t>
      </w:r>
      <w:r w:rsidR="0095762E">
        <w:rPr>
          <w:rFonts w:ascii="Rubik" w:hAnsi="Rubik" w:cs="Rubik"/>
          <w:sz w:val="22"/>
          <w:szCs w:val="22"/>
        </w:rPr>
        <w:t xml:space="preserve"> (paesaggi resilienti e innovazione e valorizzazione territoriale)</w:t>
      </w:r>
      <w:r w:rsidR="00B8103A" w:rsidRPr="00FF12D5">
        <w:rPr>
          <w:rFonts w:ascii="Rubik" w:hAnsi="Rubik" w:cs="Rubik"/>
          <w:sz w:val="22"/>
          <w:szCs w:val="22"/>
        </w:rPr>
        <w:t>. Tutti i temi di ricerca completi sono consultabili sul sito dell’Università degli studi di Bergamo.</w:t>
      </w:r>
    </w:p>
    <w:p w14:paraId="43383361" w14:textId="77777777" w:rsidR="00414613" w:rsidRPr="00FF12D5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28E32F56" w14:textId="31511903" w:rsidR="00256742" w:rsidRPr="00A62098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FF12D5">
        <w:rPr>
          <w:rFonts w:ascii="Rubik" w:hAnsi="Rubik" w:cs="Rubik"/>
          <w:sz w:val="22"/>
          <w:szCs w:val="22"/>
        </w:rPr>
        <w:t xml:space="preserve">Il più alto grado d’istruzione previsto dall’ordinamento accademico italiano, un percorso formativo che apre le porte allo scambio culturale con altri Paesi e opportunità di carriera sia nel privato, sia nel pubblico (il titolo di Dottore di ricerca dà diritto a punti nei concorsi): sono solo alcune delle caratteristiche che rendono i dottorati innovativi </w:t>
      </w:r>
      <w:r w:rsidRPr="00FF12D5">
        <w:rPr>
          <w:rFonts w:ascii="Rubik" w:hAnsi="Rubik" w:cs="Rubik"/>
          <w:b/>
          <w:bCs/>
          <w:sz w:val="22"/>
          <w:szCs w:val="22"/>
        </w:rPr>
        <w:t>un’opportunità concreta per i giovani ricercatori</w:t>
      </w:r>
      <w:r w:rsidRPr="00FF12D5">
        <w:rPr>
          <w:rFonts w:ascii="Rubik" w:hAnsi="Rubik" w:cs="Rubik"/>
          <w:sz w:val="22"/>
          <w:szCs w:val="22"/>
        </w:rPr>
        <w:t xml:space="preserve">. Un dottorato innovativo all’Università di Bergamo ha inoltre il valore aggiunto di collocarsi in una realtà come quella bergamasca, con un </w:t>
      </w:r>
      <w:r w:rsidRPr="00FF12D5">
        <w:rPr>
          <w:rFonts w:ascii="Rubik" w:hAnsi="Rubik" w:cs="Rubik"/>
          <w:b/>
          <w:bCs/>
          <w:sz w:val="22"/>
          <w:szCs w:val="22"/>
        </w:rPr>
        <w:t>tasso di disoccupazione tra i più bassi d’Italia</w:t>
      </w:r>
      <w:r w:rsidRPr="00FF12D5">
        <w:rPr>
          <w:rFonts w:ascii="Rubik" w:hAnsi="Rubik" w:cs="Rubik"/>
          <w:sz w:val="22"/>
          <w:szCs w:val="22"/>
        </w:rPr>
        <w:t xml:space="preserve"> (3,4%), un </w:t>
      </w:r>
      <w:r w:rsidRPr="00FF12D5">
        <w:rPr>
          <w:rFonts w:ascii="Rubik" w:hAnsi="Rubik" w:cs="Rubik"/>
          <w:b/>
          <w:bCs/>
          <w:sz w:val="22"/>
          <w:szCs w:val="22"/>
        </w:rPr>
        <w:t>territorio ad alta vocazione industriale</w:t>
      </w:r>
      <w:r w:rsidRPr="00FF12D5">
        <w:rPr>
          <w:rFonts w:ascii="Rubik" w:hAnsi="Rubik" w:cs="Rubik"/>
          <w:sz w:val="22"/>
          <w:szCs w:val="22"/>
        </w:rPr>
        <w:t xml:space="preserve"> (39,2%) superiore di oltre 10 punti percentuali alla media europea, e nella </w:t>
      </w:r>
      <w:r w:rsidRPr="00FF12D5">
        <w:rPr>
          <w:rFonts w:ascii="Rubik" w:hAnsi="Rubik" w:cs="Rubik"/>
          <w:b/>
          <w:bCs/>
          <w:sz w:val="22"/>
          <w:szCs w:val="22"/>
        </w:rPr>
        <w:t xml:space="preserve">quinta provincia </w:t>
      </w:r>
      <w:r w:rsidRPr="00A62098">
        <w:rPr>
          <w:rFonts w:ascii="Rubik" w:hAnsi="Rubik" w:cs="Rubik"/>
          <w:b/>
          <w:bCs/>
          <w:sz w:val="22"/>
          <w:szCs w:val="22"/>
        </w:rPr>
        <w:t>italiana per export</w:t>
      </w:r>
      <w:r w:rsidRPr="00A62098">
        <w:rPr>
          <w:rFonts w:ascii="Rubik" w:hAnsi="Rubik" w:cs="Rubik"/>
          <w:sz w:val="22"/>
          <w:szCs w:val="22"/>
        </w:rPr>
        <w:t>, con oltre 20 miliardi di euro nel 2022.</w:t>
      </w:r>
    </w:p>
    <w:p w14:paraId="0F395711" w14:textId="77777777" w:rsidR="00414613" w:rsidRPr="00A62098" w:rsidRDefault="00414613" w:rsidP="00256742">
      <w:pPr>
        <w:jc w:val="both"/>
        <w:rPr>
          <w:rFonts w:ascii="Rubik" w:hAnsi="Rubik" w:cs="Rubik"/>
          <w:sz w:val="22"/>
          <w:szCs w:val="22"/>
        </w:rPr>
      </w:pPr>
    </w:p>
    <w:p w14:paraId="4611B9BA" w14:textId="639E74AB" w:rsidR="00A62098" w:rsidRDefault="00256742" w:rsidP="00256742">
      <w:pPr>
        <w:jc w:val="both"/>
        <w:rPr>
          <w:rFonts w:ascii="Rubik" w:hAnsi="Rubik" w:cs="Rubik"/>
          <w:sz w:val="22"/>
          <w:szCs w:val="22"/>
        </w:rPr>
      </w:pPr>
      <w:r w:rsidRPr="00A62098">
        <w:rPr>
          <w:rFonts w:ascii="Rubik" w:hAnsi="Rubik" w:cs="Rubik"/>
          <w:i/>
          <w:iCs/>
          <w:sz w:val="22"/>
          <w:szCs w:val="22"/>
        </w:rPr>
        <w:t>“</w:t>
      </w:r>
      <w:r w:rsidR="00A62098" w:rsidRPr="00A62098">
        <w:rPr>
          <w:rFonts w:ascii="Rubik" w:hAnsi="Rubik" w:cs="Rubik"/>
          <w:i/>
          <w:iCs/>
          <w:sz w:val="22"/>
          <w:szCs w:val="22"/>
        </w:rPr>
        <w:t>Siamo giunti al terzo anno di attivazione dei dottorati innovativi. Si tratta di percorsi di alta specializzazione che stiamo portando avanti con forte convinzione e grazie ai finanziamenti messi a disposizione da parte del MUR. Crediamo fortemente nel valore che possono generare: da un lato i laureati possono sviluppare competenze di ricerca </w:t>
      </w:r>
      <w:r w:rsidR="00A62098" w:rsidRPr="00A62098">
        <w:rPr>
          <w:rFonts w:ascii="Rubik" w:hAnsi="Rubik" w:cs="Rubik"/>
          <w:i/>
          <w:iCs/>
          <w:color w:val="000000"/>
          <w:sz w:val="22"/>
          <w:szCs w:val="22"/>
        </w:rPr>
        <w:t>scientifica avanzata applicata alle sfide delle aziende che li ospitano, dall'altro le aziende possono portare avanti progetti innovativi grazie a figure altamente specializzate capaci di contribuire alla loro crescita e stringere relazioni e collaborazioni con docenti del nostro Ateneo</w:t>
      </w:r>
      <w:r w:rsidR="00AE4AC8" w:rsidRPr="00A62098">
        <w:rPr>
          <w:rFonts w:ascii="Rubik" w:hAnsi="Rubik" w:cs="Rubik"/>
          <w:i/>
          <w:iCs/>
          <w:sz w:val="22"/>
          <w:szCs w:val="22"/>
        </w:rPr>
        <w:t>”</w:t>
      </w:r>
      <w:r w:rsidRPr="00A62098">
        <w:rPr>
          <w:rFonts w:ascii="Rubik" w:hAnsi="Rubik" w:cs="Rubik"/>
          <w:sz w:val="22"/>
          <w:szCs w:val="22"/>
        </w:rPr>
        <w:t xml:space="preserve">, dichiara </w:t>
      </w:r>
      <w:r w:rsidR="0095762E" w:rsidRPr="00A62098">
        <w:rPr>
          <w:rFonts w:ascii="Rubik" w:hAnsi="Rubik" w:cs="Rubik"/>
          <w:b/>
          <w:bCs/>
          <w:sz w:val="22"/>
          <w:szCs w:val="22"/>
        </w:rPr>
        <w:t>Mariafrancesca Sicilia</w:t>
      </w:r>
      <w:r w:rsidRPr="00A62098">
        <w:rPr>
          <w:rFonts w:ascii="Rubik" w:hAnsi="Rubik" w:cs="Rubik"/>
          <w:sz w:val="22"/>
          <w:szCs w:val="22"/>
        </w:rPr>
        <w:t xml:space="preserve">, professore ordinario del Dipartimento di </w:t>
      </w:r>
      <w:r w:rsidR="0095762E" w:rsidRPr="00A62098">
        <w:rPr>
          <w:rFonts w:ascii="Rubik" w:hAnsi="Rubik" w:cs="Rubik"/>
          <w:sz w:val="22"/>
          <w:szCs w:val="22"/>
        </w:rPr>
        <w:t xml:space="preserve">Scienze Aziendali </w:t>
      </w:r>
      <w:r w:rsidRPr="00A62098">
        <w:rPr>
          <w:rFonts w:ascii="Rubik" w:hAnsi="Rubik" w:cs="Rubik"/>
          <w:sz w:val="22"/>
          <w:szCs w:val="22"/>
        </w:rPr>
        <w:t xml:space="preserve">e </w:t>
      </w:r>
      <w:r w:rsidR="00801F4E" w:rsidRPr="00A62098">
        <w:rPr>
          <w:rFonts w:ascii="Rubik" w:hAnsi="Rubik" w:cs="Rubik"/>
          <w:sz w:val="22"/>
          <w:szCs w:val="22"/>
        </w:rPr>
        <w:t>Prorettore con Delega alla ricerca scientifica</w:t>
      </w:r>
      <w:r w:rsidRPr="00A62098">
        <w:rPr>
          <w:rFonts w:ascii="Rubik" w:hAnsi="Rubik" w:cs="Rubik"/>
          <w:sz w:val="22"/>
          <w:szCs w:val="22"/>
        </w:rPr>
        <w:t>.</w:t>
      </w:r>
    </w:p>
    <w:p w14:paraId="36225A54" w14:textId="77777777" w:rsidR="00426E6A" w:rsidRPr="00FF12D5" w:rsidRDefault="00426E6A" w:rsidP="00256742">
      <w:pPr>
        <w:jc w:val="both"/>
        <w:rPr>
          <w:rFonts w:ascii="Rubik" w:hAnsi="Rubik" w:cs="Rubik"/>
          <w:sz w:val="22"/>
          <w:szCs w:val="22"/>
        </w:rPr>
      </w:pPr>
    </w:p>
    <w:p w14:paraId="101E67C9" w14:textId="35E2832F" w:rsidR="00424D5F" w:rsidRPr="00FF12D5" w:rsidRDefault="00424D5F" w:rsidP="00414613">
      <w:pPr>
        <w:jc w:val="both"/>
        <w:rPr>
          <w:rFonts w:ascii="Rubik" w:hAnsi="Rubik" w:cs="Rubik"/>
          <w:i/>
          <w:iCs/>
          <w:sz w:val="22"/>
          <w:szCs w:val="22"/>
        </w:rPr>
      </w:pPr>
    </w:p>
    <w:sectPr w:rsidR="00424D5F" w:rsidRPr="00FF12D5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89430" w14:textId="77777777" w:rsidR="00923C67" w:rsidRDefault="00923C67">
      <w:r>
        <w:separator/>
      </w:r>
    </w:p>
  </w:endnote>
  <w:endnote w:type="continuationSeparator" w:id="0">
    <w:p w14:paraId="5DC58D65" w14:textId="77777777" w:rsidR="00923C67" w:rsidRDefault="00923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90683" w14:textId="77777777" w:rsidR="00923C67" w:rsidRDefault="00923C67">
      <w:r>
        <w:separator/>
      </w:r>
    </w:p>
  </w:footnote>
  <w:footnote w:type="continuationSeparator" w:id="0">
    <w:p w14:paraId="6936543A" w14:textId="77777777" w:rsidR="00923C67" w:rsidRDefault="00923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3C67">
      <w:rPr>
        <w:rFonts w:ascii="Calibri" w:eastAsia="Calibri" w:hAnsi="Calibri" w:cs="Calibri"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923C6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23C67">
      <w:rPr>
        <w:rFonts w:ascii="Calibri" w:eastAsia="Calibri" w:hAnsi="Calibri" w:cs="Calibri"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0C59"/>
    <w:multiLevelType w:val="multilevel"/>
    <w:tmpl w:val="B17EC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1D55"/>
    <w:multiLevelType w:val="multilevel"/>
    <w:tmpl w:val="F57A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9D065B"/>
    <w:multiLevelType w:val="multilevel"/>
    <w:tmpl w:val="0420B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F944AA"/>
    <w:multiLevelType w:val="multilevel"/>
    <w:tmpl w:val="F462F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DB2EC4"/>
    <w:multiLevelType w:val="multilevel"/>
    <w:tmpl w:val="AE66FA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7A7177"/>
    <w:multiLevelType w:val="multilevel"/>
    <w:tmpl w:val="4D88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505344"/>
    <w:multiLevelType w:val="multilevel"/>
    <w:tmpl w:val="331C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3F1883"/>
    <w:multiLevelType w:val="multilevel"/>
    <w:tmpl w:val="15DAD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9A582F"/>
    <w:multiLevelType w:val="multilevel"/>
    <w:tmpl w:val="AAB2E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A48425E"/>
    <w:multiLevelType w:val="multilevel"/>
    <w:tmpl w:val="C414C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3D7F40"/>
    <w:multiLevelType w:val="hybridMultilevel"/>
    <w:tmpl w:val="FAA2A25C"/>
    <w:lvl w:ilvl="0" w:tplc="152CA286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180768"/>
    <w:multiLevelType w:val="multilevel"/>
    <w:tmpl w:val="838C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B0C6B0E"/>
    <w:multiLevelType w:val="multilevel"/>
    <w:tmpl w:val="942A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CE65A3A"/>
    <w:multiLevelType w:val="hybridMultilevel"/>
    <w:tmpl w:val="3E86E85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0254A7"/>
    <w:multiLevelType w:val="hybridMultilevel"/>
    <w:tmpl w:val="681099E2"/>
    <w:lvl w:ilvl="0" w:tplc="777C498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87314"/>
    <w:multiLevelType w:val="multilevel"/>
    <w:tmpl w:val="146A9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4A22A0"/>
    <w:multiLevelType w:val="multilevel"/>
    <w:tmpl w:val="2DEAD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A2C42F9"/>
    <w:multiLevelType w:val="multilevel"/>
    <w:tmpl w:val="227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7698009">
    <w:abstractNumId w:val="7"/>
  </w:num>
  <w:num w:numId="2" w16cid:durableId="1455490292">
    <w:abstractNumId w:val="5"/>
  </w:num>
  <w:num w:numId="3" w16cid:durableId="1439330256">
    <w:abstractNumId w:val="8"/>
  </w:num>
  <w:num w:numId="4" w16cid:durableId="2056469786">
    <w:abstractNumId w:val="0"/>
  </w:num>
  <w:num w:numId="5" w16cid:durableId="406193500">
    <w:abstractNumId w:val="12"/>
  </w:num>
  <w:num w:numId="6" w16cid:durableId="939485363">
    <w:abstractNumId w:val="9"/>
  </w:num>
  <w:num w:numId="7" w16cid:durableId="1124348056">
    <w:abstractNumId w:val="11"/>
  </w:num>
  <w:num w:numId="8" w16cid:durableId="1413967830">
    <w:abstractNumId w:val="2"/>
  </w:num>
  <w:num w:numId="9" w16cid:durableId="404450204">
    <w:abstractNumId w:val="15"/>
  </w:num>
  <w:num w:numId="10" w16cid:durableId="171455521">
    <w:abstractNumId w:val="16"/>
  </w:num>
  <w:num w:numId="11" w16cid:durableId="1982074400">
    <w:abstractNumId w:val="13"/>
  </w:num>
  <w:num w:numId="12" w16cid:durableId="707492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45283398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60872801">
    <w:abstractNumId w:val="14"/>
  </w:num>
  <w:num w:numId="15" w16cid:durableId="183835068">
    <w:abstractNumId w:val="17"/>
  </w:num>
  <w:num w:numId="16" w16cid:durableId="1835564881">
    <w:abstractNumId w:val="6"/>
  </w:num>
  <w:num w:numId="17" w16cid:durableId="1207330230">
    <w:abstractNumId w:val="1"/>
  </w:num>
  <w:num w:numId="18" w16cid:durableId="2303593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F06"/>
    <w:rsid w:val="000434F5"/>
    <w:rsid w:val="00094222"/>
    <w:rsid w:val="00095626"/>
    <w:rsid w:val="000A5632"/>
    <w:rsid w:val="000D12C0"/>
    <w:rsid w:val="000D4AC0"/>
    <w:rsid w:val="000D6C04"/>
    <w:rsid w:val="00102624"/>
    <w:rsid w:val="00103B96"/>
    <w:rsid w:val="0012098F"/>
    <w:rsid w:val="00126815"/>
    <w:rsid w:val="00126FAB"/>
    <w:rsid w:val="00130B07"/>
    <w:rsid w:val="00135484"/>
    <w:rsid w:val="00160527"/>
    <w:rsid w:val="001611B8"/>
    <w:rsid w:val="00162F49"/>
    <w:rsid w:val="001727BC"/>
    <w:rsid w:val="0017493A"/>
    <w:rsid w:val="00186E51"/>
    <w:rsid w:val="001A3A45"/>
    <w:rsid w:val="001C3D94"/>
    <w:rsid w:val="001D666A"/>
    <w:rsid w:val="001D6C55"/>
    <w:rsid w:val="00207010"/>
    <w:rsid w:val="002266D1"/>
    <w:rsid w:val="00245167"/>
    <w:rsid w:val="0025485F"/>
    <w:rsid w:val="00256742"/>
    <w:rsid w:val="00261058"/>
    <w:rsid w:val="002640B0"/>
    <w:rsid w:val="00267ABD"/>
    <w:rsid w:val="00271BE8"/>
    <w:rsid w:val="0027512F"/>
    <w:rsid w:val="002805DB"/>
    <w:rsid w:val="00284CA6"/>
    <w:rsid w:val="002A7937"/>
    <w:rsid w:val="002D0697"/>
    <w:rsid w:val="002E3E77"/>
    <w:rsid w:val="002E4361"/>
    <w:rsid w:val="002E4DA9"/>
    <w:rsid w:val="002F1308"/>
    <w:rsid w:val="002F2E08"/>
    <w:rsid w:val="002F2EFF"/>
    <w:rsid w:val="00317B14"/>
    <w:rsid w:val="003243D6"/>
    <w:rsid w:val="00334242"/>
    <w:rsid w:val="00350D91"/>
    <w:rsid w:val="003605F2"/>
    <w:rsid w:val="003822A4"/>
    <w:rsid w:val="00393E25"/>
    <w:rsid w:val="003A19A4"/>
    <w:rsid w:val="003C7E36"/>
    <w:rsid w:val="003F4AC0"/>
    <w:rsid w:val="00404C79"/>
    <w:rsid w:val="00412268"/>
    <w:rsid w:val="00414613"/>
    <w:rsid w:val="00424D5F"/>
    <w:rsid w:val="00426E6A"/>
    <w:rsid w:val="00447474"/>
    <w:rsid w:val="00491F41"/>
    <w:rsid w:val="004A5C2E"/>
    <w:rsid w:val="004B3326"/>
    <w:rsid w:val="004C10B9"/>
    <w:rsid w:val="004C3806"/>
    <w:rsid w:val="004C7DBE"/>
    <w:rsid w:val="004E1E80"/>
    <w:rsid w:val="004E7E4D"/>
    <w:rsid w:val="004F1235"/>
    <w:rsid w:val="004F485D"/>
    <w:rsid w:val="0051455E"/>
    <w:rsid w:val="0052417B"/>
    <w:rsid w:val="00575179"/>
    <w:rsid w:val="005762C2"/>
    <w:rsid w:val="0058734C"/>
    <w:rsid w:val="005B42D2"/>
    <w:rsid w:val="005E08BF"/>
    <w:rsid w:val="006048D4"/>
    <w:rsid w:val="00643C3F"/>
    <w:rsid w:val="006570EE"/>
    <w:rsid w:val="006C1C00"/>
    <w:rsid w:val="006C372E"/>
    <w:rsid w:val="006C58F4"/>
    <w:rsid w:val="006F4D9F"/>
    <w:rsid w:val="007135A3"/>
    <w:rsid w:val="007247DB"/>
    <w:rsid w:val="00726E06"/>
    <w:rsid w:val="00734E3E"/>
    <w:rsid w:val="00737D94"/>
    <w:rsid w:val="007542A1"/>
    <w:rsid w:val="00785440"/>
    <w:rsid w:val="007917F4"/>
    <w:rsid w:val="007A66F7"/>
    <w:rsid w:val="007A6D90"/>
    <w:rsid w:val="007C19B3"/>
    <w:rsid w:val="007C29C7"/>
    <w:rsid w:val="007F2F89"/>
    <w:rsid w:val="007F4361"/>
    <w:rsid w:val="00801F4E"/>
    <w:rsid w:val="00820185"/>
    <w:rsid w:val="008231F1"/>
    <w:rsid w:val="00833F4A"/>
    <w:rsid w:val="008540E7"/>
    <w:rsid w:val="00857C7B"/>
    <w:rsid w:val="008953A3"/>
    <w:rsid w:val="008964D8"/>
    <w:rsid w:val="008C2DE6"/>
    <w:rsid w:val="008E76CB"/>
    <w:rsid w:val="009115F4"/>
    <w:rsid w:val="00923C67"/>
    <w:rsid w:val="00934173"/>
    <w:rsid w:val="00943013"/>
    <w:rsid w:val="00953D7B"/>
    <w:rsid w:val="0095762E"/>
    <w:rsid w:val="00987196"/>
    <w:rsid w:val="009A4C79"/>
    <w:rsid w:val="009B0F7B"/>
    <w:rsid w:val="009C2DF4"/>
    <w:rsid w:val="009D536F"/>
    <w:rsid w:val="009E511D"/>
    <w:rsid w:val="009E79E9"/>
    <w:rsid w:val="009F5BC3"/>
    <w:rsid w:val="00A025A6"/>
    <w:rsid w:val="00A04FB3"/>
    <w:rsid w:val="00A23A14"/>
    <w:rsid w:val="00A61283"/>
    <w:rsid w:val="00A62098"/>
    <w:rsid w:val="00A76F51"/>
    <w:rsid w:val="00A95869"/>
    <w:rsid w:val="00AA1DBF"/>
    <w:rsid w:val="00AC4C9E"/>
    <w:rsid w:val="00AE4AC8"/>
    <w:rsid w:val="00AE7772"/>
    <w:rsid w:val="00B11117"/>
    <w:rsid w:val="00B24BFD"/>
    <w:rsid w:val="00B303AF"/>
    <w:rsid w:val="00B54D30"/>
    <w:rsid w:val="00B624E0"/>
    <w:rsid w:val="00B8103A"/>
    <w:rsid w:val="00B95EEE"/>
    <w:rsid w:val="00BC42D5"/>
    <w:rsid w:val="00BC7A7D"/>
    <w:rsid w:val="00C02775"/>
    <w:rsid w:val="00C23F79"/>
    <w:rsid w:val="00C43326"/>
    <w:rsid w:val="00C740AF"/>
    <w:rsid w:val="00CA257E"/>
    <w:rsid w:val="00D0195F"/>
    <w:rsid w:val="00D126B7"/>
    <w:rsid w:val="00D249F2"/>
    <w:rsid w:val="00D269AB"/>
    <w:rsid w:val="00D34401"/>
    <w:rsid w:val="00DA2017"/>
    <w:rsid w:val="00DC5AD5"/>
    <w:rsid w:val="00DC6FC9"/>
    <w:rsid w:val="00E06571"/>
    <w:rsid w:val="00E12F07"/>
    <w:rsid w:val="00E138A5"/>
    <w:rsid w:val="00E233BF"/>
    <w:rsid w:val="00E24970"/>
    <w:rsid w:val="00E31F8B"/>
    <w:rsid w:val="00E35BD8"/>
    <w:rsid w:val="00E37A21"/>
    <w:rsid w:val="00E51A65"/>
    <w:rsid w:val="00E9359C"/>
    <w:rsid w:val="00E97B2F"/>
    <w:rsid w:val="00ED4A9B"/>
    <w:rsid w:val="00EF2C8D"/>
    <w:rsid w:val="00F02708"/>
    <w:rsid w:val="00F03125"/>
    <w:rsid w:val="00F050DF"/>
    <w:rsid w:val="00F140C5"/>
    <w:rsid w:val="00F2596C"/>
    <w:rsid w:val="00F35462"/>
    <w:rsid w:val="00F35800"/>
    <w:rsid w:val="00F45205"/>
    <w:rsid w:val="00F47F11"/>
    <w:rsid w:val="00F549A4"/>
    <w:rsid w:val="00F65783"/>
    <w:rsid w:val="00F805FF"/>
    <w:rsid w:val="00F9680F"/>
    <w:rsid w:val="00FA38B4"/>
    <w:rsid w:val="00FD4E9C"/>
    <w:rsid w:val="00FE5789"/>
    <w:rsid w:val="00FF1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customStyle="1" w:styleId="il">
    <w:name w:val="il"/>
    <w:basedOn w:val="Carpredefinitoparagrafo"/>
    <w:rsid w:val="008E7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1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unibg.it/bandi/bando-concorso-lammissione-corsi-dottorato-ricerca-borse-aggiuntive-relative-xl-cicl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2933FED-5BA7-43F1-895F-21477A858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Crippa</dc:creator>
  <cp:lastModifiedBy>Martina Cerea</cp:lastModifiedBy>
  <cp:revision>21</cp:revision>
  <dcterms:created xsi:type="dcterms:W3CDTF">2023-06-21T15:51:00Z</dcterms:created>
  <dcterms:modified xsi:type="dcterms:W3CDTF">2024-06-20T09:30:00Z</dcterms:modified>
</cp:coreProperties>
</file>