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B1E5A2" w14:textId="6958E0E7" w:rsidR="000D694E" w:rsidRDefault="000D694E" w:rsidP="000D694E">
      <w:pPr>
        <w:keepNext/>
        <w:keepLines/>
        <w:pBdr>
          <w:top w:val="nil"/>
          <w:left w:val="nil"/>
          <w:bottom w:val="nil"/>
          <w:right w:val="nil"/>
          <w:between w:val="nil"/>
        </w:pBdr>
        <w:spacing w:before="40" w:after="0"/>
        <w:rPr>
          <w:color w:val="366091"/>
          <w:sz w:val="26"/>
          <w:szCs w:val="26"/>
        </w:rPr>
      </w:pPr>
      <w:r>
        <w:rPr>
          <w:color w:val="366091"/>
          <w:sz w:val="26"/>
          <w:szCs w:val="26"/>
        </w:rPr>
        <w:t xml:space="preserve">Allegato </w:t>
      </w:r>
      <w:r>
        <w:rPr>
          <w:color w:val="366091"/>
          <w:sz w:val="26"/>
          <w:szCs w:val="26"/>
        </w:rPr>
        <w:t>10</w:t>
      </w:r>
      <w:r>
        <w:rPr>
          <w:color w:val="366091"/>
          <w:sz w:val="26"/>
          <w:szCs w:val="26"/>
        </w:rPr>
        <w:t xml:space="preserve">. </w:t>
      </w:r>
      <w:r>
        <w:rPr>
          <w:color w:val="366091"/>
          <w:sz w:val="26"/>
          <w:szCs w:val="26"/>
        </w:rPr>
        <w:t>Scheda Spoke 1 e pilots</w:t>
      </w:r>
    </w:p>
    <w:p w14:paraId="21C37655" w14:textId="77777777" w:rsidR="000D694E" w:rsidRDefault="000D694E" w:rsidP="000D694E">
      <w:pPr>
        <w:jc w:val="both"/>
        <w:rPr>
          <w:b/>
          <w:highlight w:val="yellow"/>
        </w:rPr>
      </w:pPr>
    </w:p>
    <w:p w14:paraId="629F65BB" w14:textId="77777777" w:rsidR="000D694E" w:rsidRDefault="000D694E" w:rsidP="000D694E">
      <w:pPr>
        <w:spacing w:after="160" w:line="259" w:lineRule="auto"/>
        <w:jc w:val="both"/>
        <w:rPr>
          <w:b/>
        </w:rPr>
      </w:pPr>
      <w:r>
        <w:rPr>
          <w:b/>
        </w:rPr>
        <w:t xml:space="preserve">Avviso pubblico per la presentazione di progetti per attività di ricerca industriale e sviluppo sperimentale indirizzato a organismi di ricerca e imprese, ‘bandi a cascata’ da finanziare nell’ambito del Piano nazionale per gli investimenti complementari al PNRR (PNC, istituito con il decreto-legge 6 maggio 2021, n. 59, convertito dalla legge n. 101 del 2021), iniziative di ricerca per tecnologie e percorsi innovativi in ambito Sanitario e Assistenziale (Decreto Direttoriale n. 931 del 06-06-2022), progetto PNC0000003 - Anthem - AdvaNced Technologies for Human-centrEd Medicine finanziato con il Decreto Direttoriale 9 dicembre 2022, prot. n. 0001983 </w:t>
      </w:r>
      <w:r w:rsidRPr="008A3647">
        <w:rPr>
          <w:b/>
        </w:rPr>
        <w:t xml:space="preserve">- CUP </w:t>
      </w:r>
      <w:r w:rsidRPr="00DA03ED">
        <w:rPr>
          <w:b/>
        </w:rPr>
        <w:t>B53C22006700001</w:t>
      </w:r>
    </w:p>
    <w:p w14:paraId="2C2EF990" w14:textId="77777777" w:rsidR="00F44F8C" w:rsidRDefault="00F44F8C">
      <w:pPr>
        <w:widowControl w:val="0"/>
        <w:spacing w:after="0" w:line="240" w:lineRule="auto"/>
        <w:ind w:right="-10"/>
        <w:jc w:val="both"/>
        <w:rPr>
          <w:rFonts w:ascii="Times New Roman" w:eastAsia="Times New Roman" w:hAnsi="Times New Roman" w:cs="Times New Roman"/>
          <w:b/>
          <w:color w:val="0000FF"/>
        </w:rPr>
      </w:pPr>
    </w:p>
    <w:tbl>
      <w:tblPr>
        <w:tblStyle w:val="a"/>
        <w:tblW w:w="10211"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9"/>
        <w:gridCol w:w="1086"/>
        <w:gridCol w:w="1064"/>
        <w:gridCol w:w="7102"/>
      </w:tblGrid>
      <w:tr w:rsidR="00F44F8C" w:rsidRPr="00FF4246" w14:paraId="247ABD27" w14:textId="77777777">
        <w:trPr>
          <w:trHeight w:val="391"/>
          <w:jc w:val="center"/>
        </w:trPr>
        <w:tc>
          <w:tcPr>
            <w:tcW w:w="10211" w:type="dxa"/>
            <w:gridSpan w:val="4"/>
            <w:shd w:val="clear" w:color="auto" w:fill="D9EAD3"/>
            <w:tcMar>
              <w:top w:w="0" w:type="dxa"/>
              <w:left w:w="0" w:type="dxa"/>
              <w:bottom w:w="0" w:type="dxa"/>
              <w:right w:w="0" w:type="dxa"/>
            </w:tcMar>
          </w:tcPr>
          <w:p w14:paraId="37D5E9E5" w14:textId="5AAE6945" w:rsidR="00F44F8C" w:rsidRPr="00D86DF5" w:rsidRDefault="00C418DF">
            <w:pPr>
              <w:keepLines/>
              <w:widowControl w:val="0"/>
              <w:spacing w:after="0" w:line="240" w:lineRule="auto"/>
              <w:ind w:right="-10"/>
              <w:jc w:val="center"/>
              <w:rPr>
                <w:rFonts w:ascii="Rubik" w:hAnsi="Rubik" w:cs="Rubik"/>
                <w:b/>
                <w:i/>
                <w:color w:val="000000"/>
                <w:sz w:val="20"/>
                <w:szCs w:val="20"/>
                <w:highlight w:val="yellow"/>
                <w:lang w:val="en-US"/>
              </w:rPr>
            </w:pPr>
            <w:r w:rsidRPr="00D86DF5">
              <w:rPr>
                <w:rFonts w:ascii="Rubik" w:hAnsi="Rubik" w:cs="Rubik"/>
                <w:sz w:val="20"/>
                <w:szCs w:val="20"/>
                <w:lang w:val="en-US"/>
              </w:rPr>
              <w:t xml:space="preserve">Spoke </w:t>
            </w:r>
            <w:r w:rsidR="00A349AC" w:rsidRPr="00D86DF5">
              <w:rPr>
                <w:rFonts w:ascii="Rubik" w:hAnsi="Rubik" w:cs="Rubik"/>
                <w:sz w:val="20"/>
                <w:szCs w:val="20"/>
                <w:lang w:val="en-US"/>
              </w:rPr>
              <w:t>1</w:t>
            </w:r>
            <w:r w:rsidRPr="00D86DF5">
              <w:rPr>
                <w:rFonts w:ascii="Rubik" w:hAnsi="Rubik" w:cs="Rubik"/>
                <w:sz w:val="20"/>
                <w:szCs w:val="20"/>
                <w:lang w:val="en-US"/>
              </w:rPr>
              <w:t xml:space="preserve"> – </w:t>
            </w:r>
            <w:r w:rsidR="00A349AC" w:rsidRPr="00D86DF5">
              <w:rPr>
                <w:rFonts w:ascii="Rubik" w:hAnsi="Rubik" w:cs="Rubik"/>
                <w:sz w:val="20"/>
                <w:szCs w:val="20"/>
              </w:rPr>
              <w:t>Data and technology driven diagnosis and therapies</w:t>
            </w:r>
          </w:p>
        </w:tc>
      </w:tr>
      <w:tr w:rsidR="00F44F8C" w:rsidRPr="00FF4246" w14:paraId="767F8EB4" w14:textId="77777777" w:rsidTr="00D86DF5">
        <w:trPr>
          <w:trHeight w:val="980"/>
          <w:jc w:val="center"/>
        </w:trPr>
        <w:tc>
          <w:tcPr>
            <w:tcW w:w="10211" w:type="dxa"/>
            <w:gridSpan w:val="4"/>
            <w:shd w:val="clear" w:color="auto" w:fill="D9EAD3"/>
            <w:tcMar>
              <w:top w:w="0" w:type="dxa"/>
              <w:left w:w="0" w:type="dxa"/>
              <w:bottom w:w="0" w:type="dxa"/>
              <w:right w:w="0" w:type="dxa"/>
            </w:tcMar>
          </w:tcPr>
          <w:p w14:paraId="15C12F63" w14:textId="77777777" w:rsidR="00F44F8C" w:rsidRPr="00D86DF5" w:rsidRDefault="00F44F8C" w:rsidP="00116F91">
            <w:pPr>
              <w:spacing w:after="0" w:line="240" w:lineRule="auto"/>
              <w:ind w:left="57" w:right="57"/>
              <w:jc w:val="both"/>
              <w:rPr>
                <w:rFonts w:ascii="Rubik" w:hAnsi="Rubik" w:cs="Rubik"/>
                <w:color w:val="000000"/>
                <w:sz w:val="20"/>
                <w:szCs w:val="20"/>
                <w:highlight w:val="yellow"/>
                <w:lang w:val="en-US"/>
              </w:rPr>
            </w:pPr>
          </w:p>
          <w:p w14:paraId="2B873F31" w14:textId="4AF37249" w:rsidR="00A349AC" w:rsidRPr="00D86DF5" w:rsidRDefault="00D86DF5" w:rsidP="00D86DF5">
            <w:pPr>
              <w:pStyle w:val="Default"/>
              <w:rPr>
                <w:rFonts w:ascii="Rubik" w:hAnsi="Rubik" w:cs="Rubik"/>
                <w:sz w:val="20"/>
                <w:szCs w:val="20"/>
                <w:highlight w:val="yellow"/>
                <w:lang w:val="en-US"/>
              </w:rPr>
            </w:pPr>
            <w:r w:rsidRPr="00D86DF5">
              <w:rPr>
                <w:rFonts w:ascii="Rubik" w:hAnsi="Rubik" w:cs="Rubik"/>
                <w:sz w:val="20"/>
                <w:szCs w:val="20"/>
              </w:rPr>
              <w:t xml:space="preserve">Leveraging data, software and hardware technologies for clinical decision support, personalised medicine solutions and diagnostic process re-engineering. </w:t>
            </w:r>
          </w:p>
          <w:p w14:paraId="13B7352C" w14:textId="37E01B62" w:rsidR="00A349AC" w:rsidRPr="00D86DF5" w:rsidRDefault="00A349AC" w:rsidP="00116F91">
            <w:pPr>
              <w:spacing w:after="0" w:line="240" w:lineRule="auto"/>
              <w:ind w:left="57" w:right="57"/>
              <w:jc w:val="both"/>
              <w:rPr>
                <w:rFonts w:ascii="Rubik" w:hAnsi="Rubik" w:cs="Rubik"/>
                <w:color w:val="000000"/>
                <w:sz w:val="20"/>
                <w:szCs w:val="20"/>
                <w:highlight w:val="yellow"/>
                <w:lang w:val="en-US"/>
              </w:rPr>
            </w:pPr>
          </w:p>
        </w:tc>
      </w:tr>
      <w:tr w:rsidR="00F44F8C" w:rsidRPr="00F26504" w14:paraId="26C77D84" w14:textId="77777777" w:rsidTr="00D86DF5">
        <w:trPr>
          <w:trHeight w:val="391"/>
          <w:jc w:val="center"/>
        </w:trPr>
        <w:tc>
          <w:tcPr>
            <w:tcW w:w="959" w:type="dxa"/>
            <w:shd w:val="clear" w:color="auto" w:fill="D9EAD3"/>
            <w:tcMar>
              <w:top w:w="28" w:type="dxa"/>
              <w:left w:w="28" w:type="dxa"/>
              <w:bottom w:w="28" w:type="dxa"/>
              <w:right w:w="28" w:type="dxa"/>
            </w:tcMar>
          </w:tcPr>
          <w:p w14:paraId="169298A9" w14:textId="77777777" w:rsidR="00F44F8C" w:rsidRPr="00D86DF5" w:rsidRDefault="00D221E8">
            <w:pPr>
              <w:keepLines/>
              <w:widowControl w:val="0"/>
              <w:spacing w:after="0" w:line="240" w:lineRule="auto"/>
              <w:ind w:right="-10"/>
              <w:rPr>
                <w:rFonts w:ascii="Rubik" w:hAnsi="Rubik" w:cs="Rubik"/>
                <w:b/>
                <w:color w:val="000000"/>
                <w:sz w:val="20"/>
                <w:szCs w:val="20"/>
              </w:rPr>
            </w:pPr>
            <w:r w:rsidRPr="00D86DF5">
              <w:rPr>
                <w:rFonts w:ascii="Rubik" w:hAnsi="Rubik" w:cs="Rubik"/>
                <w:b/>
                <w:color w:val="000000"/>
                <w:sz w:val="20"/>
                <w:szCs w:val="20"/>
              </w:rPr>
              <w:t>Leader</w:t>
            </w:r>
          </w:p>
        </w:tc>
        <w:tc>
          <w:tcPr>
            <w:tcW w:w="1086" w:type="dxa"/>
            <w:shd w:val="clear" w:color="auto" w:fill="D9EAD3"/>
            <w:tcMar>
              <w:top w:w="28" w:type="dxa"/>
              <w:left w:w="28" w:type="dxa"/>
              <w:bottom w:w="28" w:type="dxa"/>
              <w:right w:w="28" w:type="dxa"/>
            </w:tcMar>
          </w:tcPr>
          <w:p w14:paraId="10F75C3F" w14:textId="4697A97A" w:rsidR="00F44F8C" w:rsidRPr="00D86DF5" w:rsidRDefault="00D221E8">
            <w:pPr>
              <w:keepLines/>
              <w:widowControl w:val="0"/>
              <w:spacing w:after="0" w:line="240" w:lineRule="auto"/>
              <w:ind w:right="-10"/>
              <w:rPr>
                <w:rFonts w:ascii="Rubik" w:hAnsi="Rubik" w:cs="Rubik"/>
                <w:b/>
                <w:color w:val="000000"/>
                <w:sz w:val="20"/>
                <w:szCs w:val="20"/>
              </w:rPr>
            </w:pPr>
            <w:r w:rsidRPr="00D86DF5">
              <w:rPr>
                <w:rFonts w:ascii="Rubik" w:hAnsi="Rubik" w:cs="Rubik"/>
                <w:b/>
                <w:color w:val="000000"/>
                <w:sz w:val="20"/>
                <w:szCs w:val="20"/>
              </w:rPr>
              <w:t>UNI</w:t>
            </w:r>
            <w:r w:rsidR="00A349AC" w:rsidRPr="00D86DF5">
              <w:rPr>
                <w:rFonts w:ascii="Rubik" w:hAnsi="Rubik" w:cs="Rubik"/>
                <w:b/>
                <w:color w:val="000000"/>
                <w:sz w:val="20"/>
                <w:szCs w:val="20"/>
              </w:rPr>
              <w:t>BG</w:t>
            </w:r>
          </w:p>
        </w:tc>
        <w:tc>
          <w:tcPr>
            <w:tcW w:w="1064" w:type="dxa"/>
            <w:shd w:val="clear" w:color="auto" w:fill="D9EAD3"/>
            <w:tcMar>
              <w:top w:w="28" w:type="dxa"/>
              <w:left w:w="28" w:type="dxa"/>
              <w:bottom w:w="28" w:type="dxa"/>
              <w:right w:w="28" w:type="dxa"/>
            </w:tcMar>
          </w:tcPr>
          <w:p w14:paraId="7C9A8FFC" w14:textId="77777777" w:rsidR="00F44F8C" w:rsidRPr="00D86DF5" w:rsidRDefault="00D221E8">
            <w:pPr>
              <w:keepLines/>
              <w:widowControl w:val="0"/>
              <w:spacing w:after="0" w:line="240" w:lineRule="auto"/>
              <w:ind w:right="-10"/>
              <w:rPr>
                <w:rFonts w:ascii="Rubik" w:hAnsi="Rubik" w:cs="Rubik"/>
                <w:b/>
                <w:bCs/>
                <w:color w:val="000000"/>
                <w:sz w:val="20"/>
                <w:szCs w:val="20"/>
              </w:rPr>
            </w:pPr>
            <w:r w:rsidRPr="00D86DF5">
              <w:rPr>
                <w:rFonts w:ascii="Rubik" w:hAnsi="Rubik" w:cs="Rubik"/>
                <w:b/>
                <w:bCs/>
                <w:color w:val="000000"/>
                <w:sz w:val="20"/>
                <w:szCs w:val="20"/>
              </w:rPr>
              <w:t>Affiliates</w:t>
            </w:r>
          </w:p>
        </w:tc>
        <w:tc>
          <w:tcPr>
            <w:tcW w:w="7102" w:type="dxa"/>
            <w:shd w:val="clear" w:color="auto" w:fill="D9EAD3"/>
            <w:tcMar>
              <w:top w:w="28" w:type="dxa"/>
              <w:left w:w="28" w:type="dxa"/>
              <w:bottom w:w="28" w:type="dxa"/>
              <w:right w:w="28" w:type="dxa"/>
            </w:tcMar>
          </w:tcPr>
          <w:p w14:paraId="5092B21A" w14:textId="357EFACB" w:rsidR="00F44F8C" w:rsidRPr="00D86DF5" w:rsidRDefault="00A349AC" w:rsidP="00116F91">
            <w:pPr>
              <w:keepLines/>
              <w:widowControl w:val="0"/>
              <w:pBdr>
                <w:top w:val="nil"/>
                <w:left w:val="nil"/>
                <w:bottom w:val="nil"/>
                <w:right w:val="nil"/>
                <w:between w:val="nil"/>
              </w:pBdr>
              <w:spacing w:after="0" w:line="240" w:lineRule="auto"/>
              <w:ind w:right="-10"/>
              <w:rPr>
                <w:rFonts w:ascii="Rubik" w:hAnsi="Rubik" w:cs="Rubik"/>
                <w:b/>
                <w:bCs/>
                <w:color w:val="000000"/>
                <w:sz w:val="20"/>
                <w:szCs w:val="20"/>
              </w:rPr>
            </w:pPr>
            <w:r w:rsidRPr="00D86DF5">
              <w:rPr>
                <w:rFonts w:ascii="Rubik" w:hAnsi="Rubik" w:cs="Rubik"/>
                <w:b/>
                <w:bCs/>
                <w:sz w:val="20"/>
                <w:szCs w:val="20"/>
              </w:rPr>
              <w:t>Università degli Studi della Campania-Vanvitelli, Università degli Studi di Milano Bicocca, Università degli Studi di Messina, Azienda Socio Sanitaria Territoriale Bergamo Est, Azienda Socio Sanitaria Territoriale Papa Giovanni XXIII, Azienda Socio Sanitaria Territoriale di Monza, Istituto di Ricerche Farmacologiche Mario Negri, Diapath SpA, Fondazione Europea Ricerca Biomedica Onlus</w:t>
            </w:r>
          </w:p>
        </w:tc>
      </w:tr>
      <w:tr w:rsidR="00F44F8C" w:rsidRPr="00FF4246" w14:paraId="49DBCAAB" w14:textId="77777777">
        <w:trPr>
          <w:trHeight w:val="831"/>
          <w:jc w:val="center"/>
        </w:trPr>
        <w:tc>
          <w:tcPr>
            <w:tcW w:w="10211" w:type="dxa"/>
            <w:gridSpan w:val="4"/>
            <w:tcBorders>
              <w:left w:val="single" w:sz="4" w:space="0" w:color="000000"/>
              <w:right w:val="single" w:sz="4" w:space="0" w:color="000000"/>
            </w:tcBorders>
            <w:shd w:val="clear" w:color="auto" w:fill="auto"/>
            <w:tcMar>
              <w:top w:w="0" w:type="dxa"/>
              <w:left w:w="0" w:type="dxa"/>
              <w:bottom w:w="0" w:type="dxa"/>
              <w:right w:w="0" w:type="dxa"/>
            </w:tcMar>
          </w:tcPr>
          <w:p w14:paraId="4E270446" w14:textId="3153794A" w:rsidR="00F44F8C" w:rsidRPr="00116F91" w:rsidRDefault="00267F6A" w:rsidP="00267F6A">
            <w:pPr>
              <w:pStyle w:val="Default"/>
              <w:jc w:val="both"/>
              <w:rPr>
                <w:b/>
                <w:highlight w:val="yellow"/>
                <w:lang w:val="en-US"/>
              </w:rPr>
            </w:pPr>
            <w:bookmarkStart w:id="0" w:name="_heading=h.30j0zll" w:colFirst="0" w:colLast="0"/>
            <w:bookmarkEnd w:id="0"/>
            <w:r>
              <w:rPr>
                <w:b/>
                <w:bCs/>
                <w:sz w:val="22"/>
                <w:szCs w:val="22"/>
              </w:rPr>
              <w:t xml:space="preserve">Pilot 1.1: Leveraging data for clinical decision support system and data management </w:t>
            </w:r>
            <w:r>
              <w:rPr>
                <w:sz w:val="22"/>
                <w:szCs w:val="22"/>
              </w:rPr>
              <w:t>(UNIBG, UNIMIB, NEGRI). Design and development of Artificial Intelligence (AI), machine learning (ML) and deep learning (DL) models for patient-specific decision making and personalised medicine (</w:t>
            </w:r>
            <w:r>
              <w:rPr>
                <w:b/>
                <w:bCs/>
                <w:sz w:val="22"/>
                <w:szCs w:val="22"/>
              </w:rPr>
              <w:t>Territorial/Pathology</w:t>
            </w:r>
            <w:r>
              <w:rPr>
                <w:sz w:val="22"/>
                <w:szCs w:val="22"/>
              </w:rPr>
              <w:t xml:space="preserve">) </w:t>
            </w:r>
          </w:p>
        </w:tc>
      </w:tr>
      <w:tr w:rsidR="00F44F8C" w:rsidRPr="00FF4246" w14:paraId="27C0C7ED" w14:textId="77777777">
        <w:trPr>
          <w:trHeight w:val="276"/>
          <w:jc w:val="center"/>
        </w:trPr>
        <w:tc>
          <w:tcPr>
            <w:tcW w:w="10211" w:type="dxa"/>
            <w:gridSpan w:val="4"/>
            <w:tcBorders>
              <w:left w:val="single" w:sz="4" w:space="0" w:color="000000"/>
              <w:right w:val="single" w:sz="4" w:space="0" w:color="000000"/>
            </w:tcBorders>
            <w:shd w:val="clear" w:color="auto" w:fill="auto"/>
            <w:tcMar>
              <w:top w:w="0" w:type="dxa"/>
              <w:left w:w="0" w:type="dxa"/>
              <w:bottom w:w="0" w:type="dxa"/>
              <w:right w:w="0" w:type="dxa"/>
            </w:tcMar>
          </w:tcPr>
          <w:p w14:paraId="0FFAE8C7" w14:textId="1E54C12F" w:rsidR="00F44F8C" w:rsidRPr="00F26504" w:rsidRDefault="00267F6A" w:rsidP="00267F6A">
            <w:pPr>
              <w:pStyle w:val="Default"/>
              <w:jc w:val="both"/>
              <w:rPr>
                <w:highlight w:val="yellow"/>
                <w:lang w:val="en-US"/>
              </w:rPr>
            </w:pPr>
            <w:r>
              <w:rPr>
                <w:b/>
                <w:bCs/>
                <w:sz w:val="22"/>
                <w:szCs w:val="22"/>
              </w:rPr>
              <w:t xml:space="preserve">Pilot 1.2: Digital Triage at the emergency room </w:t>
            </w:r>
            <w:r>
              <w:rPr>
                <w:sz w:val="22"/>
                <w:szCs w:val="22"/>
              </w:rPr>
              <w:t>(UNIBG, ASST BGEST, FERB). Design and development of an innovative digital triage solution for improving the responsiveness of acute care systems to the patients’ needs with a particular attention to socially frail patients (</w:t>
            </w:r>
            <w:r>
              <w:rPr>
                <w:b/>
                <w:bCs/>
                <w:sz w:val="22"/>
                <w:szCs w:val="22"/>
              </w:rPr>
              <w:t>Territorial</w:t>
            </w:r>
            <w:r>
              <w:rPr>
                <w:sz w:val="22"/>
                <w:szCs w:val="22"/>
              </w:rPr>
              <w:t xml:space="preserve">). </w:t>
            </w:r>
          </w:p>
        </w:tc>
      </w:tr>
      <w:tr w:rsidR="00F44F8C" w:rsidRPr="00FF4246" w14:paraId="29A74A14" w14:textId="77777777" w:rsidTr="00116F91">
        <w:trPr>
          <w:trHeight w:val="573"/>
          <w:jc w:val="center"/>
        </w:trPr>
        <w:tc>
          <w:tcPr>
            <w:tcW w:w="10211" w:type="dxa"/>
            <w:gridSpan w:val="4"/>
            <w:tcBorders>
              <w:left w:val="single" w:sz="4" w:space="0" w:color="000000"/>
              <w:right w:val="single" w:sz="4" w:space="0" w:color="000000"/>
            </w:tcBorders>
            <w:shd w:val="clear" w:color="auto" w:fill="auto"/>
            <w:tcMar>
              <w:top w:w="0" w:type="dxa"/>
              <w:left w:w="0" w:type="dxa"/>
              <w:bottom w:w="0" w:type="dxa"/>
              <w:right w:w="0" w:type="dxa"/>
            </w:tcMar>
          </w:tcPr>
          <w:p w14:paraId="563DFE90" w14:textId="77777777" w:rsidR="00267F6A" w:rsidRDefault="00267F6A" w:rsidP="00267F6A">
            <w:pPr>
              <w:pStyle w:val="Default"/>
              <w:jc w:val="both"/>
            </w:pPr>
            <w:r>
              <w:rPr>
                <w:b/>
                <w:bCs/>
                <w:sz w:val="22"/>
                <w:szCs w:val="22"/>
              </w:rPr>
              <w:t xml:space="preserve">Pilot 1.3: AI based Artificial Pancreas for children </w:t>
            </w:r>
            <w:r>
              <w:rPr>
                <w:sz w:val="22"/>
                <w:szCs w:val="22"/>
              </w:rPr>
              <w:t>(UNIBG, ASST PG23). Design a personalised patient-centred real-time blood glucose (BGL) control algorithm for Artificial Pancreas exploiting the patient's personal data to understand and learn the specific BGL dynamics by the means of data mining and AI modelling. Unannounced meals detectors and their amount estimation should be integrated to the control loop, together with specific patients-</w:t>
            </w:r>
          </w:p>
          <w:p w14:paraId="29C29A54" w14:textId="42BE140F" w:rsidR="00F44F8C" w:rsidRPr="00F26504" w:rsidRDefault="00267F6A" w:rsidP="00267F6A">
            <w:pPr>
              <w:pStyle w:val="Default"/>
              <w:jc w:val="both"/>
              <w:rPr>
                <w:highlight w:val="yellow"/>
                <w:lang w:val="en-US"/>
              </w:rPr>
            </w:pPr>
            <w:r>
              <w:rPr>
                <w:sz w:val="22"/>
                <w:szCs w:val="22"/>
              </w:rPr>
              <w:t>tailored hyper-/hypo-glycemia alarms (</w:t>
            </w:r>
            <w:r>
              <w:rPr>
                <w:b/>
                <w:bCs/>
                <w:sz w:val="22"/>
                <w:szCs w:val="22"/>
              </w:rPr>
              <w:t>Pathology</w:t>
            </w:r>
            <w:r>
              <w:rPr>
                <w:sz w:val="22"/>
                <w:szCs w:val="22"/>
              </w:rPr>
              <w:t xml:space="preserve">). </w:t>
            </w:r>
          </w:p>
        </w:tc>
      </w:tr>
      <w:tr w:rsidR="00F44F8C" w:rsidRPr="00FF4246" w14:paraId="35A4F0C0" w14:textId="77777777">
        <w:trPr>
          <w:trHeight w:val="276"/>
          <w:jc w:val="center"/>
        </w:trPr>
        <w:tc>
          <w:tcPr>
            <w:tcW w:w="10211" w:type="dxa"/>
            <w:gridSpan w:val="4"/>
            <w:tcBorders>
              <w:left w:val="single" w:sz="4" w:space="0" w:color="000000"/>
              <w:right w:val="single" w:sz="4" w:space="0" w:color="000000"/>
            </w:tcBorders>
            <w:shd w:val="clear" w:color="auto" w:fill="auto"/>
            <w:tcMar>
              <w:top w:w="0" w:type="dxa"/>
              <w:left w:w="0" w:type="dxa"/>
              <w:bottom w:w="0" w:type="dxa"/>
              <w:right w:w="0" w:type="dxa"/>
            </w:tcMar>
          </w:tcPr>
          <w:p w14:paraId="11D1B8A3" w14:textId="5263330D" w:rsidR="00F44F8C" w:rsidRPr="00116F91" w:rsidRDefault="00267F6A" w:rsidP="00267F6A">
            <w:pPr>
              <w:pStyle w:val="Default"/>
              <w:jc w:val="both"/>
              <w:rPr>
                <w:highlight w:val="yellow"/>
                <w:lang w:val="en-US"/>
              </w:rPr>
            </w:pPr>
            <w:r>
              <w:rPr>
                <w:b/>
                <w:bCs/>
                <w:sz w:val="22"/>
                <w:szCs w:val="22"/>
              </w:rPr>
              <w:t xml:space="preserve">Pilot 1.4: Timely genomic diagnosis for children with rare diseases toward precision medicines </w:t>
            </w:r>
            <w:r>
              <w:rPr>
                <w:sz w:val="22"/>
                <w:szCs w:val="22"/>
              </w:rPr>
              <w:t>(UNIBG, ASST PG23, NEGRI). Development of new AI based tools to support the clinicians in activating the genomic diagnostic process of rare diseases. A new digital genomic infrastructure will allow the collaboration between partners and clinical teams and the sharing of available datasets (</w:t>
            </w:r>
            <w:r>
              <w:rPr>
                <w:b/>
                <w:bCs/>
                <w:sz w:val="22"/>
                <w:szCs w:val="22"/>
              </w:rPr>
              <w:t>Pathology</w:t>
            </w:r>
            <w:r>
              <w:rPr>
                <w:sz w:val="22"/>
                <w:szCs w:val="22"/>
              </w:rPr>
              <w:t xml:space="preserve">). </w:t>
            </w:r>
          </w:p>
        </w:tc>
      </w:tr>
      <w:tr w:rsidR="00267F6A" w:rsidRPr="00FF4246" w14:paraId="17DDA470" w14:textId="77777777" w:rsidTr="00267F6A">
        <w:trPr>
          <w:trHeight w:val="1201"/>
          <w:jc w:val="center"/>
        </w:trPr>
        <w:tc>
          <w:tcPr>
            <w:tcW w:w="10211" w:type="dxa"/>
            <w:gridSpan w:val="4"/>
            <w:tcBorders>
              <w:left w:val="single" w:sz="4" w:space="0" w:color="000000"/>
              <w:right w:val="single" w:sz="4" w:space="0" w:color="000000"/>
            </w:tcBorders>
            <w:shd w:val="clear" w:color="auto" w:fill="auto"/>
            <w:tcMar>
              <w:top w:w="0" w:type="dxa"/>
              <w:left w:w="0" w:type="dxa"/>
              <w:bottom w:w="0" w:type="dxa"/>
              <w:right w:w="0" w:type="dxa"/>
            </w:tcMar>
          </w:tcPr>
          <w:p w14:paraId="13B4BDAF" w14:textId="42AA4C4B" w:rsidR="00267F6A" w:rsidRPr="00267F6A" w:rsidRDefault="00267F6A" w:rsidP="00267F6A">
            <w:pPr>
              <w:keepLines/>
              <w:spacing w:after="0" w:line="240" w:lineRule="auto"/>
              <w:ind w:left="57" w:right="57"/>
              <w:jc w:val="both"/>
              <w:rPr>
                <w:rFonts w:ascii="Times New Roman" w:hAnsi="Times New Roman" w:cs="Times New Roman"/>
                <w:color w:val="000000"/>
              </w:rPr>
            </w:pPr>
            <w:r w:rsidRPr="00267F6A">
              <w:rPr>
                <w:rFonts w:ascii="Times New Roman" w:hAnsi="Times New Roman" w:cs="Times New Roman"/>
                <w:b/>
                <w:bCs/>
                <w:color w:val="000000"/>
              </w:rPr>
              <w:t>Pilot 1.5: Mass spectrometry for tissue biopsy investigation</w:t>
            </w:r>
            <w:r w:rsidRPr="00267F6A">
              <w:rPr>
                <w:rFonts w:ascii="Times New Roman" w:hAnsi="Times New Roman" w:cs="Times New Roman"/>
                <w:color w:val="000000"/>
              </w:rPr>
              <w:t xml:space="preserve"> (UNIMIB). Use of the 4-dimensional SpatialOMIx Mass Spectrometry imaging approach to investigate cytologic and tissue specimens for the precise diagnosis of several high-incidence diseases (e.g. thyroid lesions) through their “molecular signature”. AI tools will be exploited to identify markers in the cytological or bioptic tissue section (Pathology). </w:t>
            </w:r>
          </w:p>
        </w:tc>
      </w:tr>
      <w:tr w:rsidR="00267F6A" w:rsidRPr="00116F91" w14:paraId="3C5C9129" w14:textId="77777777">
        <w:trPr>
          <w:trHeight w:val="276"/>
          <w:jc w:val="center"/>
        </w:trPr>
        <w:tc>
          <w:tcPr>
            <w:tcW w:w="10211" w:type="dxa"/>
            <w:gridSpan w:val="4"/>
            <w:tcBorders>
              <w:left w:val="single" w:sz="4" w:space="0" w:color="000000"/>
              <w:right w:val="single" w:sz="4" w:space="0" w:color="000000"/>
            </w:tcBorders>
            <w:shd w:val="clear" w:color="auto" w:fill="auto"/>
            <w:tcMar>
              <w:top w:w="0" w:type="dxa"/>
              <w:left w:w="0" w:type="dxa"/>
              <w:bottom w:w="0" w:type="dxa"/>
              <w:right w:w="0" w:type="dxa"/>
            </w:tcMar>
          </w:tcPr>
          <w:p w14:paraId="2CAE78C9" w14:textId="66D9CA79" w:rsidR="00267F6A" w:rsidRPr="00267F6A" w:rsidRDefault="00267F6A" w:rsidP="00267F6A">
            <w:pPr>
              <w:keepLines/>
              <w:spacing w:after="0" w:line="240" w:lineRule="auto"/>
              <w:ind w:left="57" w:right="57"/>
              <w:jc w:val="both"/>
              <w:rPr>
                <w:rFonts w:ascii="Times New Roman" w:hAnsi="Times New Roman" w:cs="Times New Roman"/>
                <w:color w:val="000000"/>
              </w:rPr>
            </w:pPr>
            <w:r w:rsidRPr="00267F6A">
              <w:rPr>
                <w:rFonts w:ascii="Times New Roman" w:hAnsi="Times New Roman" w:cs="Times New Roman"/>
                <w:b/>
                <w:bCs/>
                <w:color w:val="000000"/>
              </w:rPr>
              <w:lastRenderedPageBreak/>
              <w:t>Pilot 1.6: Improved multi-source image-based diagnostic for early cancer</w:t>
            </w:r>
            <w:r w:rsidRPr="00267F6A">
              <w:rPr>
                <w:rFonts w:ascii="Times New Roman" w:hAnsi="Times New Roman" w:cs="Times New Roman"/>
                <w:color w:val="000000"/>
              </w:rPr>
              <w:t xml:space="preserve"> detection (UNICAMP, UNIMIB, ASST MONZA). Design of an “Intelligent” Territorial Screening of high-incidence cancers integrated by telemedicine and multisource diagnostic images improved by 3D rendering and enhancement, surgical endoscopic fluorescence images, clinical, pathological and “omics” data, powered by AI analysis. Improving cancer prevention by designing, optimising and commissioning a demo of TOF-PET insert for MRI powered by AI (Pathology). </w:t>
            </w:r>
          </w:p>
        </w:tc>
      </w:tr>
      <w:tr w:rsidR="00116F91" w:rsidRPr="00FF4246" w14:paraId="035EC636" w14:textId="77777777">
        <w:trPr>
          <w:trHeight w:val="276"/>
          <w:jc w:val="center"/>
        </w:trPr>
        <w:tc>
          <w:tcPr>
            <w:tcW w:w="10211" w:type="dxa"/>
            <w:gridSpan w:val="4"/>
            <w:tcBorders>
              <w:left w:val="single" w:sz="4" w:space="0" w:color="000000"/>
              <w:right w:val="single" w:sz="4" w:space="0" w:color="000000"/>
            </w:tcBorders>
            <w:shd w:val="clear" w:color="auto" w:fill="auto"/>
            <w:tcMar>
              <w:top w:w="0" w:type="dxa"/>
              <w:left w:w="0" w:type="dxa"/>
              <w:bottom w:w="0" w:type="dxa"/>
              <w:right w:w="0" w:type="dxa"/>
            </w:tcMar>
          </w:tcPr>
          <w:p w14:paraId="2BDE1F2D" w14:textId="15BB0F2E" w:rsidR="00116F91" w:rsidRPr="00116F91" w:rsidRDefault="00267F6A" w:rsidP="00267F6A">
            <w:pPr>
              <w:pStyle w:val="Default"/>
              <w:rPr>
                <w:b/>
                <w:bCs/>
                <w:lang w:val="en-US"/>
              </w:rPr>
            </w:pPr>
            <w:r>
              <w:rPr>
                <w:b/>
                <w:bCs/>
                <w:sz w:val="22"/>
                <w:szCs w:val="22"/>
              </w:rPr>
              <w:t xml:space="preserve">Pilot 1.7: Genetic insights in neurodegenerative disease </w:t>
            </w:r>
            <w:r>
              <w:rPr>
                <w:sz w:val="22"/>
                <w:szCs w:val="22"/>
              </w:rPr>
              <w:t>(UNIME, ASST MONZA). Identification of the reasons for Parkinson’s Disease (PD) high risk in patients with Gaucher disease (GD) and their family using genomic approaches and exploiting the underlying pathways in pre-clinical models by imaging and molecular analysis (</w:t>
            </w:r>
            <w:r>
              <w:rPr>
                <w:b/>
                <w:bCs/>
                <w:sz w:val="22"/>
                <w:szCs w:val="22"/>
              </w:rPr>
              <w:t>Pathology</w:t>
            </w:r>
            <w:r>
              <w:rPr>
                <w:sz w:val="22"/>
                <w:szCs w:val="22"/>
              </w:rPr>
              <w:t>).</w:t>
            </w:r>
          </w:p>
        </w:tc>
      </w:tr>
      <w:tr w:rsidR="00116F91" w:rsidRPr="00FF4246" w14:paraId="4F5D4AC3" w14:textId="77777777">
        <w:trPr>
          <w:trHeight w:val="276"/>
          <w:jc w:val="center"/>
        </w:trPr>
        <w:tc>
          <w:tcPr>
            <w:tcW w:w="10211" w:type="dxa"/>
            <w:gridSpan w:val="4"/>
            <w:tcBorders>
              <w:left w:val="single" w:sz="4" w:space="0" w:color="000000"/>
              <w:right w:val="single" w:sz="4" w:space="0" w:color="000000"/>
            </w:tcBorders>
            <w:shd w:val="clear" w:color="auto" w:fill="auto"/>
            <w:tcMar>
              <w:top w:w="0" w:type="dxa"/>
              <w:left w:w="0" w:type="dxa"/>
              <w:bottom w:w="0" w:type="dxa"/>
              <w:right w:w="0" w:type="dxa"/>
            </w:tcMar>
          </w:tcPr>
          <w:p w14:paraId="5EED442D" w14:textId="44420C29" w:rsidR="00116F91" w:rsidRPr="00116F91" w:rsidRDefault="00267F6A" w:rsidP="00267F6A">
            <w:pPr>
              <w:pStyle w:val="Default"/>
              <w:rPr>
                <w:b/>
                <w:bCs/>
                <w:lang w:val="en-US"/>
              </w:rPr>
            </w:pPr>
            <w:r>
              <w:rPr>
                <w:b/>
                <w:bCs/>
                <w:sz w:val="22"/>
                <w:szCs w:val="22"/>
              </w:rPr>
              <w:t xml:space="preserve">Pilot 1.8: MicroCT-based 3D digital histology </w:t>
            </w:r>
            <w:r>
              <w:rPr>
                <w:sz w:val="22"/>
                <w:szCs w:val="22"/>
              </w:rPr>
              <w:t>(UNIBG, UNIMIB, DIA, ASST MONZA, ASST PG23). Development of a new 3D digital diagnostic methodology (virtual histology) using X-ray micro-CT imaging analysis of tumour specimens for allowing a unique visualisation of the tissue’s microstructures and their segmentation to follow up the details over entire volumes without destroying the samples as in conventional histology workup (here used as validation benchmark) (</w:t>
            </w:r>
            <w:r>
              <w:rPr>
                <w:b/>
                <w:bCs/>
                <w:sz w:val="22"/>
                <w:szCs w:val="22"/>
              </w:rPr>
              <w:t>Pathology</w:t>
            </w:r>
            <w:r>
              <w:rPr>
                <w:sz w:val="22"/>
                <w:szCs w:val="22"/>
              </w:rPr>
              <w:t xml:space="preserve">). </w:t>
            </w:r>
          </w:p>
        </w:tc>
      </w:tr>
    </w:tbl>
    <w:p w14:paraId="2AB25D2C" w14:textId="38890D30" w:rsidR="00F44F8C" w:rsidRPr="003B640D" w:rsidRDefault="00F44F8C">
      <w:pPr>
        <w:rPr>
          <w:sz w:val="24"/>
          <w:szCs w:val="24"/>
          <w:lang w:val="en-US"/>
        </w:rPr>
      </w:pPr>
    </w:p>
    <w:sectPr w:rsidR="00F44F8C" w:rsidRPr="003B640D">
      <w:headerReference w:type="default" r:id="rId7"/>
      <w:footerReference w:type="default" r:id="rId8"/>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7FD595" w14:textId="77777777" w:rsidR="00D221E8" w:rsidRDefault="00D221E8">
      <w:pPr>
        <w:spacing w:after="0" w:line="240" w:lineRule="auto"/>
      </w:pPr>
      <w:r>
        <w:separator/>
      </w:r>
    </w:p>
  </w:endnote>
  <w:endnote w:type="continuationSeparator" w:id="0">
    <w:p w14:paraId="78352707" w14:textId="77777777" w:rsidR="00D221E8" w:rsidRDefault="00D22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ubik">
    <w:panose1 w:val="00000500000000000000"/>
    <w:charset w:val="00"/>
    <w:family w:val="auto"/>
    <w:pitch w:val="variable"/>
    <w:sig w:usb0="00000A07" w:usb1="40000001" w:usb2="00000000" w:usb3="00000000" w:csb0="000000B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8BBF6" w14:textId="577B3670" w:rsidR="00F44F8C" w:rsidRDefault="00FB0D78">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60288" behindDoc="0" locked="0" layoutInCell="1" allowOverlap="1" wp14:anchorId="484A8BCB" wp14:editId="7E967D41">
          <wp:simplePos x="0" y="0"/>
          <wp:positionH relativeFrom="column">
            <wp:posOffset>4442460</wp:posOffset>
          </wp:positionH>
          <wp:positionV relativeFrom="paragraph">
            <wp:posOffset>154940</wp:posOffset>
          </wp:positionV>
          <wp:extent cx="1917700" cy="821765"/>
          <wp:effectExtent l="0" t="0" r="0" b="0"/>
          <wp:wrapNone/>
          <wp:docPr id="1" name="Immagine 1"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nero, oscurità&#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7700" cy="821765"/>
                  </a:xfrm>
                  <a:prstGeom prst="rect">
                    <a:avLst/>
                  </a:prstGeom>
                  <a:noFill/>
                </pic:spPr>
              </pic:pic>
            </a:graphicData>
          </a:graphic>
        </wp:anchor>
      </w:drawing>
    </w:r>
    <w:r w:rsidR="00D221E8">
      <w:rPr>
        <w:noProof/>
      </w:rPr>
      <w:drawing>
        <wp:anchor distT="0" distB="0" distL="114300" distR="114300" simplePos="0" relativeHeight="251659264" behindDoc="0" locked="0" layoutInCell="1" hidden="0" allowOverlap="1" wp14:anchorId="4B77936C" wp14:editId="455F6AE7">
          <wp:simplePos x="0" y="0"/>
          <wp:positionH relativeFrom="column">
            <wp:posOffset>-8253</wp:posOffset>
          </wp:positionH>
          <wp:positionV relativeFrom="paragraph">
            <wp:posOffset>111760</wp:posOffset>
          </wp:positionV>
          <wp:extent cx="1274445" cy="975360"/>
          <wp:effectExtent l="0" t="0" r="0" b="0"/>
          <wp:wrapSquare wrapText="bothSides" distT="0" distB="0" distL="114300" distR="114300"/>
          <wp:docPr id="2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274445" cy="975360"/>
                  </a:xfrm>
                  <a:prstGeom prst="rect">
                    <a:avLst/>
                  </a:prstGeom>
                  <a:ln/>
                </pic:spPr>
              </pic:pic>
            </a:graphicData>
          </a:graphic>
        </wp:anchor>
      </w:drawing>
    </w:r>
  </w:p>
  <w:p w14:paraId="4EFFBCD5" w14:textId="77777777" w:rsidR="00F44F8C" w:rsidRDefault="00D221E8">
    <w:pPr>
      <w:pBdr>
        <w:top w:val="nil"/>
        <w:left w:val="nil"/>
        <w:bottom w:val="nil"/>
        <w:right w:val="nil"/>
        <w:between w:val="nil"/>
      </w:pBdr>
      <w:tabs>
        <w:tab w:val="center" w:pos="4819"/>
        <w:tab w:val="right" w:pos="9638"/>
      </w:tabs>
      <w:spacing w:after="0" w:line="240" w:lineRule="auto"/>
      <w:rPr>
        <w:color w:val="000000"/>
      </w:rPr>
    </w:pPr>
    <w:r>
      <w:rPr>
        <w:color w:val="000000"/>
      </w:rPr>
      <w:t xml:space="preserve">                                                                                        </w:t>
    </w:r>
  </w:p>
  <w:p w14:paraId="43FC29DF" w14:textId="77777777" w:rsidR="00F44F8C" w:rsidRDefault="00F44F8C">
    <w:pPr>
      <w:pBdr>
        <w:top w:val="nil"/>
        <w:left w:val="nil"/>
        <w:bottom w:val="nil"/>
        <w:right w:val="nil"/>
        <w:between w:val="nil"/>
      </w:pBdr>
      <w:tabs>
        <w:tab w:val="center" w:pos="4819"/>
        <w:tab w:val="right" w:pos="9638"/>
      </w:tabs>
      <w:spacing w:after="0" w:line="240" w:lineRule="auto"/>
      <w:rPr>
        <w:color w:val="000000"/>
      </w:rPr>
    </w:pPr>
  </w:p>
  <w:p w14:paraId="3BDF1878" w14:textId="2F89E0A0" w:rsidR="00F44F8C" w:rsidRDefault="00D221E8" w:rsidP="003B640D">
    <w:pPr>
      <w:pBdr>
        <w:top w:val="nil"/>
        <w:left w:val="nil"/>
        <w:bottom w:val="nil"/>
        <w:right w:val="nil"/>
        <w:between w:val="nil"/>
      </w:pBdr>
      <w:tabs>
        <w:tab w:val="center" w:pos="4819"/>
        <w:tab w:val="right" w:pos="9638"/>
      </w:tabs>
      <w:spacing w:after="0" w:line="240" w:lineRule="auto"/>
      <w:jc w:val="right"/>
      <w:rPr>
        <w:color w:val="000000"/>
      </w:rPr>
    </w:pPr>
    <w:r>
      <w:rPr>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61ED2" w14:textId="77777777" w:rsidR="00D221E8" w:rsidRDefault="00D221E8">
      <w:pPr>
        <w:spacing w:after="0" w:line="240" w:lineRule="auto"/>
      </w:pPr>
      <w:r>
        <w:separator/>
      </w:r>
    </w:p>
  </w:footnote>
  <w:footnote w:type="continuationSeparator" w:id="0">
    <w:p w14:paraId="6BEBBD78" w14:textId="77777777" w:rsidR="00D221E8" w:rsidRDefault="00D221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98186" w14:textId="77777777" w:rsidR="00F44F8C" w:rsidRDefault="00D221E8">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58240" behindDoc="0" locked="0" layoutInCell="1" hidden="0" allowOverlap="1" wp14:anchorId="13C0ADE5" wp14:editId="61DBE1F0">
          <wp:simplePos x="0" y="0"/>
          <wp:positionH relativeFrom="column">
            <wp:posOffset>-457199</wp:posOffset>
          </wp:positionH>
          <wp:positionV relativeFrom="paragraph">
            <wp:posOffset>-341629</wp:posOffset>
          </wp:positionV>
          <wp:extent cx="6953250" cy="944880"/>
          <wp:effectExtent l="0" t="0" r="0" b="0"/>
          <wp:wrapSquare wrapText="bothSides" distT="0" distB="0" distL="114300" distR="114300"/>
          <wp:docPr id="2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6953250" cy="944880"/>
                  </a:xfrm>
                  <a:prstGeom prst="rect">
                    <a:avLst/>
                  </a:prstGeom>
                  <a:ln/>
                </pic:spPr>
              </pic:pic>
            </a:graphicData>
          </a:graphic>
        </wp:anchor>
      </w:drawing>
    </w:r>
  </w:p>
  <w:p w14:paraId="17BAC48E" w14:textId="77777777" w:rsidR="00F44F8C" w:rsidRDefault="00F44F8C">
    <w:pPr>
      <w:pBdr>
        <w:top w:val="nil"/>
        <w:left w:val="nil"/>
        <w:bottom w:val="nil"/>
        <w:right w:val="nil"/>
        <w:between w:val="nil"/>
      </w:pBdr>
      <w:tabs>
        <w:tab w:val="center" w:pos="4819"/>
        <w:tab w:val="right" w:pos="9638"/>
      </w:tabs>
      <w:spacing w:after="0" w:line="240" w:lineRule="auto"/>
      <w:rPr>
        <w:color w:val="000000"/>
      </w:rPr>
    </w:pPr>
  </w:p>
  <w:p w14:paraId="73132B03" w14:textId="77777777" w:rsidR="00F44F8C" w:rsidRDefault="00F44F8C">
    <w:pPr>
      <w:pBdr>
        <w:top w:val="nil"/>
        <w:left w:val="nil"/>
        <w:bottom w:val="nil"/>
        <w:right w:val="nil"/>
        <w:between w:val="nil"/>
      </w:pBdr>
      <w:tabs>
        <w:tab w:val="center" w:pos="4819"/>
        <w:tab w:val="right" w:pos="9638"/>
      </w:tabs>
      <w:spacing w:after="0" w:line="240" w:lineRule="auto"/>
      <w:rPr>
        <w:color w:val="000000"/>
      </w:rPr>
    </w:pPr>
  </w:p>
  <w:p w14:paraId="41661178" w14:textId="77777777" w:rsidR="00F44F8C" w:rsidRDefault="00F44F8C">
    <w:pPr>
      <w:pBdr>
        <w:top w:val="nil"/>
        <w:left w:val="nil"/>
        <w:bottom w:val="nil"/>
        <w:right w:val="nil"/>
        <w:between w:val="nil"/>
      </w:pBdr>
      <w:tabs>
        <w:tab w:val="center" w:pos="4819"/>
        <w:tab w:val="right" w:pos="96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F8C"/>
    <w:rsid w:val="000D694E"/>
    <w:rsid w:val="001161A9"/>
    <w:rsid w:val="00116F91"/>
    <w:rsid w:val="00267F6A"/>
    <w:rsid w:val="00372F48"/>
    <w:rsid w:val="003B640D"/>
    <w:rsid w:val="009679EF"/>
    <w:rsid w:val="00A349AC"/>
    <w:rsid w:val="00B23364"/>
    <w:rsid w:val="00C418DF"/>
    <w:rsid w:val="00D221E8"/>
    <w:rsid w:val="00D86DF5"/>
    <w:rsid w:val="00F26504"/>
    <w:rsid w:val="00F44F8C"/>
    <w:rsid w:val="00FB0D78"/>
    <w:rsid w:val="00FF42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C66C0"/>
  <w15:docId w15:val="{3598591B-3492-824E-8325-76B914C02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link w:val="Titolo2Carattere"/>
    <w:uiPriority w:val="9"/>
    <w:semiHidden/>
    <w:unhideWhenUsed/>
    <w:qFormat/>
    <w:rsid w:val="00E500B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character" w:customStyle="1" w:styleId="Titolo2Carattere">
    <w:name w:val="Titolo 2 Carattere"/>
    <w:basedOn w:val="Carpredefinitoparagrafo"/>
    <w:link w:val="Titolo2"/>
    <w:uiPriority w:val="9"/>
    <w:rsid w:val="00E500BB"/>
    <w:rPr>
      <w:rFonts w:asciiTheme="majorHAnsi" w:eastAsiaTheme="majorEastAsia" w:hAnsiTheme="majorHAnsi" w:cstheme="majorBidi"/>
      <w:color w:val="365F91" w:themeColor="accent1" w:themeShade="BF"/>
      <w:sz w:val="26"/>
      <w:szCs w:val="26"/>
      <w:lang w:eastAsia="it-IT"/>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9765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652B"/>
  </w:style>
  <w:style w:type="paragraph" w:styleId="Pidipagina">
    <w:name w:val="footer"/>
    <w:basedOn w:val="Normale"/>
    <w:link w:val="PidipaginaCarattere"/>
    <w:uiPriority w:val="99"/>
    <w:unhideWhenUsed/>
    <w:rsid w:val="009765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652B"/>
  </w:style>
  <w:style w:type="paragraph" w:styleId="Testofumetto">
    <w:name w:val="Balloon Text"/>
    <w:basedOn w:val="Normale"/>
    <w:link w:val="TestofumettoCarattere"/>
    <w:uiPriority w:val="99"/>
    <w:semiHidden/>
    <w:unhideWhenUsed/>
    <w:rsid w:val="00C36A6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36A6C"/>
    <w:rPr>
      <w:rFonts w:ascii="Tahoma" w:hAnsi="Tahoma" w:cs="Tahoma"/>
      <w:sz w:val="16"/>
      <w:szCs w:val="16"/>
    </w:rPr>
  </w:style>
  <w:style w:type="table" w:customStyle="1" w:styleId="a">
    <w:basedOn w:val="TableNormal"/>
    <w:tblPr>
      <w:tblStyleRowBandSize w:val="1"/>
      <w:tblStyleColBandSize w:val="1"/>
      <w:tblCellMar>
        <w:left w:w="115" w:type="dxa"/>
        <w:right w:w="115" w:type="dxa"/>
      </w:tblCellMar>
    </w:tblPr>
  </w:style>
  <w:style w:type="paragraph" w:customStyle="1" w:styleId="Default">
    <w:name w:val="Default"/>
    <w:rsid w:val="00D86DF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8ihh8+kwlCjoPKlYpvyVTI6uxQ==">CgMxLjAyCWguMzBqMHpsbDgAciExcHh2QmFtQkRxd3o1LXo3Zi1BVDdnU1ZnSXczbnZ0THg=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687</Words>
  <Characters>3921</Characters>
  <Application>Microsoft Office Word</Application>
  <DocSecurity>0</DocSecurity>
  <Lines>32</Lines>
  <Paragraphs>9</Paragraphs>
  <ScaleCrop>false</ScaleCrop>
  <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Ospite</dc:creator>
  <cp:lastModifiedBy>Marta SABBATINI</cp:lastModifiedBy>
  <cp:revision>7</cp:revision>
  <dcterms:created xsi:type="dcterms:W3CDTF">2024-05-02T09:18:00Z</dcterms:created>
  <dcterms:modified xsi:type="dcterms:W3CDTF">2024-07-05T13:58:00Z</dcterms:modified>
</cp:coreProperties>
</file>