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11A0B" w14:textId="0C88AA95" w:rsidR="00B42429" w:rsidRDefault="00B430DF" w:rsidP="00B42429">
      <w:pPr>
        <w:spacing w:after="120"/>
        <w:jc w:val="center"/>
        <w:rPr>
          <w:rFonts w:ascii="Rubik" w:eastAsia="Rubik" w:hAnsi="Rubik" w:cs="Rubik"/>
          <w:color w:val="333333"/>
          <w:sz w:val="20"/>
          <w:szCs w:val="20"/>
          <w:highlight w:val="white"/>
          <w:u w:val="single"/>
        </w:rPr>
      </w:pPr>
      <w:r>
        <w:rPr>
          <w:rFonts w:ascii="Rubik" w:eastAsia="Rubik" w:hAnsi="Rubik" w:cs="Rubik"/>
          <w:color w:val="333333"/>
          <w:sz w:val="20"/>
          <w:szCs w:val="20"/>
          <w:highlight w:val="white"/>
          <w:u w:val="single"/>
        </w:rPr>
        <w:t>COMUNICATO</w:t>
      </w:r>
      <w:r w:rsidR="00C27830" w:rsidRPr="007E36E5">
        <w:rPr>
          <w:rFonts w:ascii="Rubik" w:eastAsia="Rubik" w:hAnsi="Rubik" w:cs="Rubik"/>
          <w:color w:val="333333"/>
          <w:sz w:val="20"/>
          <w:szCs w:val="20"/>
          <w:highlight w:val="white"/>
          <w:u w:val="single"/>
        </w:rPr>
        <w:t xml:space="preserve"> STAMPA</w:t>
      </w:r>
    </w:p>
    <w:p w14:paraId="150105CB" w14:textId="77777777" w:rsidR="00C17AB6" w:rsidRPr="00C17AB6" w:rsidRDefault="00C17AB6" w:rsidP="00B42429">
      <w:pPr>
        <w:spacing w:after="120"/>
        <w:jc w:val="center"/>
        <w:rPr>
          <w:rFonts w:ascii="Rubik" w:eastAsia="Rubik" w:hAnsi="Rubik" w:cs="Rubik"/>
          <w:color w:val="333333"/>
          <w:sz w:val="2"/>
          <w:szCs w:val="2"/>
          <w:highlight w:val="white"/>
          <w:u w:val="single"/>
        </w:rPr>
      </w:pPr>
    </w:p>
    <w:p w14:paraId="7D927548" w14:textId="171F79F9" w:rsidR="00B430DF" w:rsidRDefault="00800CBF" w:rsidP="00B430DF">
      <w:pPr>
        <w:spacing w:after="120"/>
        <w:jc w:val="center"/>
        <w:rPr>
          <w:rFonts w:ascii="Rubik" w:eastAsia="Rubik" w:hAnsi="Rubik" w:cs="Rubik"/>
          <w:b/>
          <w:bCs/>
        </w:rPr>
      </w:pPr>
      <w:r>
        <w:rPr>
          <w:rFonts w:ascii="Rubik" w:eastAsia="Rubik" w:hAnsi="Rubik" w:cs="Rubik"/>
          <w:b/>
          <w:bCs/>
        </w:rPr>
        <w:t xml:space="preserve">RICERCA E IMPRESA. </w:t>
      </w:r>
      <w:r w:rsidR="00B072B1">
        <w:rPr>
          <w:rFonts w:ascii="Rubik" w:eastAsia="Rubik" w:hAnsi="Rubik" w:cs="Rubik"/>
          <w:b/>
          <w:bCs/>
        </w:rPr>
        <w:t xml:space="preserve">UNIBG E UNIBS INSIEME PER </w:t>
      </w:r>
      <w:r w:rsidR="00EE56AD">
        <w:rPr>
          <w:rFonts w:ascii="Rubik" w:eastAsia="Rubik" w:hAnsi="Rubik" w:cs="Rubik"/>
          <w:b/>
          <w:bCs/>
        </w:rPr>
        <w:t>60</w:t>
      </w:r>
      <w:r w:rsidR="00B072B1">
        <w:rPr>
          <w:rFonts w:ascii="Rubik" w:eastAsia="Rubik" w:hAnsi="Rubik" w:cs="Rubik"/>
          <w:b/>
          <w:bCs/>
        </w:rPr>
        <w:t xml:space="preserve"> BORSE DI DOTTORATO</w:t>
      </w:r>
    </w:p>
    <w:p w14:paraId="60D91F56" w14:textId="77777777" w:rsidR="00B430DF" w:rsidRPr="00B430DF" w:rsidRDefault="00B430DF" w:rsidP="00B430DF">
      <w:pPr>
        <w:spacing w:after="120"/>
        <w:jc w:val="center"/>
        <w:rPr>
          <w:rFonts w:ascii="Rubik" w:eastAsia="Rubik" w:hAnsi="Rubik" w:cs="Rubik"/>
          <w:b/>
          <w:bCs/>
          <w:sz w:val="2"/>
          <w:szCs w:val="2"/>
        </w:rPr>
      </w:pPr>
    </w:p>
    <w:p w14:paraId="2E55D6ED" w14:textId="2F2E5839" w:rsidR="00B430DF" w:rsidRPr="00F1195C" w:rsidRDefault="00B430DF" w:rsidP="00B430DF">
      <w:pPr>
        <w:jc w:val="both"/>
        <w:rPr>
          <w:rFonts w:ascii="Rubik" w:hAnsi="Rubik" w:cs="Rubik"/>
          <w:b/>
          <w:bCs/>
          <w:sz w:val="22"/>
          <w:szCs w:val="22"/>
        </w:rPr>
      </w:pPr>
      <w:r w:rsidRPr="00B430DF">
        <w:rPr>
          <w:rFonts w:ascii="Rubik" w:hAnsi="Rubik" w:cs="Rubik"/>
          <w:i/>
          <w:iCs/>
          <w:sz w:val="22"/>
          <w:szCs w:val="22"/>
        </w:rPr>
        <w:t>Bergamo e Brescia, 23 maggio 2022</w:t>
      </w:r>
      <w:r>
        <w:rPr>
          <w:rFonts w:ascii="Rubik" w:hAnsi="Rubik" w:cs="Rubik"/>
          <w:sz w:val="22"/>
          <w:szCs w:val="22"/>
        </w:rPr>
        <w:t xml:space="preserve"> – </w:t>
      </w:r>
      <w:r w:rsidRPr="00B430DF">
        <w:rPr>
          <w:rFonts w:ascii="Rubik" w:hAnsi="Rubik" w:cs="Rubik" w:hint="cs"/>
          <w:sz w:val="22"/>
          <w:szCs w:val="22"/>
        </w:rPr>
        <w:t xml:space="preserve">In continuità con la proposta di progetto THEMA, presentata in occasione del bando PNRR “Ecosistemi dell’innovazione”, il </w:t>
      </w:r>
      <w:r w:rsidRPr="00B430DF">
        <w:rPr>
          <w:rFonts w:ascii="Rubik" w:hAnsi="Rubik" w:cs="Rubik" w:hint="cs"/>
          <w:b/>
          <w:bCs/>
          <w:sz w:val="22"/>
          <w:szCs w:val="22"/>
        </w:rPr>
        <w:t>sistema dell’innovazione Bergamo-Brescia</w:t>
      </w:r>
      <w:r w:rsidRPr="00B430DF">
        <w:rPr>
          <w:rFonts w:ascii="Rubik" w:hAnsi="Rubik" w:cs="Rubik" w:hint="cs"/>
          <w:sz w:val="22"/>
          <w:szCs w:val="22"/>
        </w:rPr>
        <w:t xml:space="preserve"> mette a disposizione delle aziende del territorio </w:t>
      </w:r>
      <w:r w:rsidR="00EE56AD">
        <w:rPr>
          <w:rFonts w:ascii="Rubik" w:hAnsi="Rubik" w:cs="Rubik"/>
          <w:b/>
          <w:bCs/>
          <w:sz w:val="22"/>
          <w:szCs w:val="22"/>
        </w:rPr>
        <w:t>oltre 2 milioni</w:t>
      </w:r>
      <w:r w:rsidRPr="00B430DF">
        <w:rPr>
          <w:rFonts w:ascii="Rubik" w:hAnsi="Rubik" w:cs="Rubik" w:hint="cs"/>
          <w:b/>
          <w:bCs/>
          <w:sz w:val="22"/>
          <w:szCs w:val="22"/>
        </w:rPr>
        <w:t xml:space="preserve"> di euro</w:t>
      </w:r>
      <w:r w:rsidRPr="00B430DF">
        <w:rPr>
          <w:rFonts w:ascii="Rubik" w:hAnsi="Rubik" w:cs="Rubik" w:hint="cs"/>
          <w:sz w:val="22"/>
          <w:szCs w:val="22"/>
        </w:rPr>
        <w:t xml:space="preserve"> in cofinanziamento per l’attivazione di </w:t>
      </w:r>
      <w:r w:rsidR="00F1195C">
        <w:rPr>
          <w:rFonts w:ascii="Rubik" w:hAnsi="Rubik" w:cs="Rubik"/>
          <w:b/>
          <w:bCs/>
          <w:sz w:val="22"/>
          <w:szCs w:val="22"/>
        </w:rPr>
        <w:t>60</w:t>
      </w:r>
      <w:r w:rsidRPr="00B430DF">
        <w:rPr>
          <w:rFonts w:ascii="Rubik" w:hAnsi="Rubik" w:cs="Rubik" w:hint="cs"/>
          <w:b/>
          <w:bCs/>
          <w:sz w:val="22"/>
          <w:szCs w:val="22"/>
        </w:rPr>
        <w:t xml:space="preserve"> borse di dottorato</w:t>
      </w:r>
      <w:r w:rsidR="00F1195C">
        <w:rPr>
          <w:rFonts w:ascii="Rubik" w:hAnsi="Rubik" w:cs="Rubik"/>
          <w:sz w:val="22"/>
          <w:szCs w:val="22"/>
        </w:rPr>
        <w:t xml:space="preserve"> </w:t>
      </w:r>
      <w:r w:rsidR="00F1195C" w:rsidRPr="00F1195C">
        <w:rPr>
          <w:rFonts w:ascii="Rubik" w:hAnsi="Rubik" w:cs="Rubik"/>
          <w:b/>
          <w:bCs/>
          <w:sz w:val="22"/>
          <w:szCs w:val="22"/>
        </w:rPr>
        <w:t>di ricerca applicata.</w:t>
      </w:r>
    </w:p>
    <w:p w14:paraId="3D4F5C31" w14:textId="77777777" w:rsidR="00EE56AD" w:rsidRDefault="00EE56AD" w:rsidP="00B430DF">
      <w:pPr>
        <w:jc w:val="both"/>
        <w:rPr>
          <w:rFonts w:ascii="Rubik" w:hAnsi="Rubik" w:cs="Rubik"/>
          <w:sz w:val="22"/>
          <w:szCs w:val="22"/>
        </w:rPr>
      </w:pPr>
    </w:p>
    <w:p w14:paraId="1C5E713A" w14:textId="73311714" w:rsidR="00B430DF" w:rsidRDefault="00B430DF" w:rsidP="00B430DF">
      <w:pPr>
        <w:jc w:val="both"/>
        <w:rPr>
          <w:rFonts w:ascii="Rubik" w:hAnsi="Rubik" w:cs="Rubik"/>
          <w:sz w:val="22"/>
          <w:szCs w:val="22"/>
        </w:rPr>
      </w:pPr>
      <w:r w:rsidRPr="00B430DF">
        <w:rPr>
          <w:rFonts w:ascii="Rubik" w:hAnsi="Rubik" w:cs="Rubik" w:hint="cs"/>
          <w:sz w:val="22"/>
          <w:szCs w:val="22"/>
        </w:rPr>
        <w:t>Le risorse economiche messe in gioco vanno ad integrare quelle previste dal D.M. 352 del 09-04-2022, attraverso il quale il MUR ha previsto il riparto di 5.000 borse di dottorati innovativi che rispondono ai fabbisogni di innovazione delle imprese e promuovono l'assunzione dei ricercatori dalle imprese.</w:t>
      </w:r>
    </w:p>
    <w:p w14:paraId="109DDE46" w14:textId="77777777" w:rsidR="00B430DF" w:rsidRPr="00B430DF" w:rsidRDefault="00B430DF" w:rsidP="00B430DF">
      <w:pPr>
        <w:jc w:val="both"/>
        <w:rPr>
          <w:rFonts w:ascii="Rubik" w:hAnsi="Rubik" w:cs="Rubik"/>
          <w:sz w:val="22"/>
          <w:szCs w:val="22"/>
        </w:rPr>
      </w:pPr>
    </w:p>
    <w:p w14:paraId="1DF73B12" w14:textId="4059575A" w:rsidR="00B430DF" w:rsidRDefault="00B430DF" w:rsidP="00B430DF">
      <w:pPr>
        <w:jc w:val="both"/>
        <w:rPr>
          <w:rFonts w:ascii="Rubik" w:hAnsi="Rubik" w:cs="Rubik"/>
          <w:i/>
          <w:iCs/>
          <w:sz w:val="22"/>
          <w:szCs w:val="22"/>
        </w:rPr>
      </w:pPr>
      <w:r>
        <w:rPr>
          <w:rFonts w:ascii="Rubik" w:hAnsi="Rubik" w:cs="Rubik"/>
          <w:i/>
          <w:iCs/>
          <w:sz w:val="22"/>
          <w:szCs w:val="22"/>
        </w:rPr>
        <w:t>“</w:t>
      </w:r>
      <w:r w:rsidRPr="00B430DF">
        <w:rPr>
          <w:rFonts w:ascii="Rubik" w:hAnsi="Rubik" w:cs="Rubik" w:hint="cs"/>
          <w:i/>
          <w:iCs/>
          <w:sz w:val="22"/>
          <w:szCs w:val="22"/>
        </w:rPr>
        <w:t xml:space="preserve">L’obiettivo </w:t>
      </w:r>
      <w:r w:rsidRPr="00B430DF">
        <w:rPr>
          <w:rFonts w:ascii="Rubik" w:hAnsi="Rubik" w:cs="Rubik"/>
          <w:sz w:val="22"/>
          <w:szCs w:val="22"/>
        </w:rPr>
        <w:t xml:space="preserve">– spiega il </w:t>
      </w:r>
      <w:r w:rsidRPr="00B430DF">
        <w:rPr>
          <w:rFonts w:ascii="Rubik" w:hAnsi="Rubik" w:cs="Rubik"/>
          <w:b/>
          <w:bCs/>
          <w:sz w:val="22"/>
          <w:szCs w:val="22"/>
        </w:rPr>
        <w:t>Rettore dell’Università degli studi di Bergamo, Prof. Sergio Cavalieri</w:t>
      </w:r>
      <w:r w:rsidRPr="00B430DF">
        <w:rPr>
          <w:rFonts w:ascii="Rubik" w:hAnsi="Rubik" w:cs="Rubik"/>
          <w:sz w:val="22"/>
          <w:szCs w:val="22"/>
        </w:rPr>
        <w:t xml:space="preserve"> –</w:t>
      </w:r>
      <w:r>
        <w:rPr>
          <w:rFonts w:ascii="Rubik" w:hAnsi="Rubik" w:cs="Rubik"/>
          <w:i/>
          <w:iCs/>
          <w:sz w:val="22"/>
          <w:szCs w:val="22"/>
        </w:rPr>
        <w:t xml:space="preserve"> </w:t>
      </w:r>
      <w:r w:rsidRPr="00B430DF">
        <w:rPr>
          <w:rFonts w:ascii="Rubik" w:hAnsi="Rubik" w:cs="Rubik" w:hint="cs"/>
          <w:i/>
          <w:iCs/>
          <w:sz w:val="22"/>
          <w:szCs w:val="22"/>
        </w:rPr>
        <w:t>è quello di potenziare le competenze di alto profilo, in modo particolare nelle aree delle tecnologie abilitanti, attraverso l’istituzione di programmi di dottorato dedicati, con il contributo e il coinvolgimento delle imprese nella definizione del percorso formativo, anche nell'ambito di collaborazioni più ampie con l'Università. Con questa finalità, la ricerca applicata, passando dal prodotto, dal sistema produttivo e dalla gestione e organizzazione della supply chain, potrà arrivare a promuovere la manifattura presente sul territorio dal punto di vista ambientale e sociale.</w:t>
      </w:r>
      <w:r>
        <w:rPr>
          <w:rFonts w:ascii="Rubik" w:hAnsi="Rubik" w:cs="Rubik"/>
          <w:i/>
          <w:iCs/>
          <w:sz w:val="22"/>
          <w:szCs w:val="22"/>
        </w:rPr>
        <w:t>”</w:t>
      </w:r>
    </w:p>
    <w:p w14:paraId="249C7A77" w14:textId="44B57B06" w:rsidR="00B430DF" w:rsidRDefault="00B430DF" w:rsidP="00B430DF">
      <w:pPr>
        <w:jc w:val="both"/>
        <w:rPr>
          <w:rFonts w:ascii="Rubik" w:hAnsi="Rubik" w:cs="Rubik"/>
          <w:i/>
          <w:iCs/>
          <w:sz w:val="22"/>
          <w:szCs w:val="22"/>
        </w:rPr>
      </w:pPr>
    </w:p>
    <w:p w14:paraId="0147E531" w14:textId="4A1671FD" w:rsidR="007014C3" w:rsidRPr="00B649A8" w:rsidRDefault="007014C3" w:rsidP="00B430DF">
      <w:pPr>
        <w:jc w:val="both"/>
        <w:rPr>
          <w:rFonts w:ascii="Rubik" w:hAnsi="Rubik" w:cs="Rubik"/>
          <w:i/>
          <w:iCs/>
          <w:sz w:val="22"/>
          <w:szCs w:val="22"/>
        </w:rPr>
      </w:pPr>
      <w:r w:rsidRPr="00B649A8">
        <w:rPr>
          <w:rFonts w:ascii="Rubik" w:hAnsi="Rubik" w:cs="Rubik"/>
          <w:i/>
          <w:iCs/>
          <w:sz w:val="22"/>
          <w:szCs w:val="22"/>
        </w:rPr>
        <w:t>“L'attivazione di borse di dottorato di ricerca per il potenziamento delle competenze di alto profilo nell'ambito industriale, con particolare riguardo alle aree delle tecnologie abilitanti</w:t>
      </w:r>
      <w:r w:rsidR="00B649A8" w:rsidRPr="00B649A8">
        <w:rPr>
          <w:rFonts w:ascii="Rubik" w:hAnsi="Rubik" w:cs="Rubik"/>
          <w:i/>
          <w:iCs/>
          <w:sz w:val="22"/>
          <w:szCs w:val="22"/>
        </w:rPr>
        <w:t xml:space="preserve"> – </w:t>
      </w:r>
      <w:r w:rsidR="00B649A8" w:rsidRPr="0087443F">
        <w:rPr>
          <w:rFonts w:ascii="Rubik" w:hAnsi="Rubik" w:cs="Rubik"/>
          <w:sz w:val="22"/>
          <w:szCs w:val="22"/>
        </w:rPr>
        <w:t xml:space="preserve">dichiara il </w:t>
      </w:r>
      <w:r w:rsidR="00B649A8" w:rsidRPr="0087443F">
        <w:rPr>
          <w:rFonts w:ascii="Rubik" w:hAnsi="Rubik" w:cs="Rubik"/>
          <w:b/>
          <w:bCs/>
          <w:sz w:val="22"/>
          <w:szCs w:val="22"/>
        </w:rPr>
        <w:t>Rettore dell’Università degli Studi di Brescia, Prof. Maurizio Tira</w:t>
      </w:r>
      <w:r w:rsidR="00B649A8" w:rsidRPr="0087443F">
        <w:rPr>
          <w:rFonts w:ascii="Rubik" w:hAnsi="Rubik" w:cs="Rubik"/>
          <w:sz w:val="22"/>
          <w:szCs w:val="22"/>
        </w:rPr>
        <w:t xml:space="preserve"> –</w:t>
      </w:r>
      <w:r w:rsidR="00B649A8" w:rsidRPr="00B649A8">
        <w:rPr>
          <w:rFonts w:ascii="Rubik" w:hAnsi="Rubik" w:cs="Rubik"/>
          <w:i/>
          <w:iCs/>
          <w:sz w:val="22"/>
          <w:szCs w:val="22"/>
        </w:rPr>
        <w:t xml:space="preserve"> si pone come obiettivo la concezione e la conduzione di progetti di ricerca applicata che, a partire dalle reali esigenze presenti e future delle aziende del territorio, sviluppino e implementino tecnologie, metodi ed approcci. Il </w:t>
      </w:r>
      <w:r w:rsidR="00B649A8" w:rsidRPr="00B649A8">
        <w:rPr>
          <w:rFonts w:ascii="Rubik" w:hAnsi="Rubik" w:cs="Rubik" w:hint="cs"/>
          <w:i/>
          <w:iCs/>
          <w:sz w:val="22"/>
          <w:szCs w:val="22"/>
        </w:rPr>
        <w:t>sistema dell’innovazione Brescia</w:t>
      </w:r>
      <w:r w:rsidR="00B649A8" w:rsidRPr="00B649A8">
        <w:rPr>
          <w:rFonts w:ascii="Rubik" w:hAnsi="Rubik" w:cs="Rubik"/>
          <w:i/>
          <w:iCs/>
          <w:sz w:val="22"/>
          <w:szCs w:val="22"/>
        </w:rPr>
        <w:t>-Bergamo esprime un</w:t>
      </w:r>
      <w:r w:rsidRPr="00B649A8">
        <w:rPr>
          <w:rFonts w:ascii="Rubik" w:hAnsi="Rubik" w:cs="Rubik"/>
          <w:i/>
          <w:iCs/>
          <w:sz w:val="22"/>
          <w:szCs w:val="22"/>
        </w:rPr>
        <w:t xml:space="preserve">a nuova alleanza tra </w:t>
      </w:r>
      <w:r w:rsidR="00976EAB">
        <w:rPr>
          <w:rFonts w:ascii="Rubik" w:hAnsi="Rubik" w:cs="Rubik"/>
          <w:i/>
          <w:iCs/>
          <w:sz w:val="22"/>
          <w:szCs w:val="22"/>
        </w:rPr>
        <w:t xml:space="preserve">mondo </w:t>
      </w:r>
      <w:r w:rsidRPr="00B649A8">
        <w:rPr>
          <w:rFonts w:ascii="Rubik" w:hAnsi="Rubik" w:cs="Rubik"/>
          <w:i/>
          <w:iCs/>
          <w:sz w:val="22"/>
          <w:szCs w:val="22"/>
        </w:rPr>
        <w:t>della ricerca, imprese e governance istituzionale</w:t>
      </w:r>
      <w:r w:rsidR="00B649A8" w:rsidRPr="00B649A8">
        <w:rPr>
          <w:rFonts w:ascii="Rubik" w:hAnsi="Rubik" w:cs="Rubik"/>
          <w:i/>
          <w:iCs/>
          <w:sz w:val="22"/>
          <w:szCs w:val="22"/>
        </w:rPr>
        <w:t>, coerentemente</w:t>
      </w:r>
      <w:r w:rsidRPr="00B649A8">
        <w:rPr>
          <w:rFonts w:ascii="Rubik" w:hAnsi="Rubik" w:cs="Rubik"/>
          <w:i/>
          <w:iCs/>
          <w:sz w:val="22"/>
          <w:szCs w:val="22"/>
        </w:rPr>
        <w:t xml:space="preserve"> con la missione 4.2 del PNRR nazionale”.</w:t>
      </w:r>
    </w:p>
    <w:p w14:paraId="4B40E9EE" w14:textId="77777777" w:rsidR="00B430DF" w:rsidRPr="00B430DF" w:rsidRDefault="00B430DF" w:rsidP="00B430DF">
      <w:pPr>
        <w:jc w:val="both"/>
        <w:rPr>
          <w:rFonts w:ascii="Rubik" w:hAnsi="Rubik" w:cs="Rubik"/>
          <w:sz w:val="22"/>
          <w:szCs w:val="22"/>
        </w:rPr>
      </w:pPr>
    </w:p>
    <w:p w14:paraId="6B2A319B" w14:textId="47268B1F" w:rsidR="00B430DF" w:rsidRDefault="00B430DF" w:rsidP="00B430DF">
      <w:pPr>
        <w:jc w:val="both"/>
        <w:rPr>
          <w:rFonts w:ascii="Rubik" w:hAnsi="Rubik" w:cs="Rubik"/>
          <w:sz w:val="22"/>
          <w:szCs w:val="22"/>
        </w:rPr>
      </w:pPr>
      <w:r w:rsidRPr="00B430DF">
        <w:rPr>
          <w:rFonts w:ascii="Rubik" w:hAnsi="Rubik" w:cs="Rubik" w:hint="cs"/>
          <w:sz w:val="22"/>
          <w:szCs w:val="22"/>
        </w:rPr>
        <w:t xml:space="preserve">Attraverso la condivisione dei percorsi di ricerca, finalizzati alla formazione di giovani ricercatori in grado di </w:t>
      </w:r>
      <w:r w:rsidRPr="00B430DF">
        <w:rPr>
          <w:rFonts w:ascii="Rubik" w:hAnsi="Rubik" w:cs="Rubik" w:hint="cs"/>
          <w:b/>
          <w:bCs/>
          <w:sz w:val="22"/>
          <w:szCs w:val="22"/>
        </w:rPr>
        <w:t>supportare l’innovazione e la competitività</w:t>
      </w:r>
      <w:r w:rsidRPr="00B430DF">
        <w:rPr>
          <w:rFonts w:ascii="Rubik" w:hAnsi="Rubik" w:cs="Rubik" w:hint="cs"/>
          <w:sz w:val="22"/>
          <w:szCs w:val="22"/>
        </w:rPr>
        <w:t xml:space="preserve"> delle aziende, questi dottorati potranno rafforzare l’interazione tra gli Atenei e le imprese del territorio. Ciascuna borsa di dottorato dovrà, infatti, essere progettata con l’obiettivo di sviluppare un </w:t>
      </w:r>
      <w:r w:rsidRPr="00B430DF">
        <w:rPr>
          <w:rFonts w:ascii="Rubik" w:hAnsi="Rubik" w:cs="Rubik" w:hint="cs"/>
          <w:b/>
          <w:bCs/>
          <w:sz w:val="22"/>
          <w:szCs w:val="22"/>
        </w:rPr>
        <w:t>progetto di ricerca condiviso tra l’Università e l’impresa che cofinanzierà il progetto</w:t>
      </w:r>
      <w:r w:rsidRPr="00B430DF">
        <w:rPr>
          <w:rFonts w:ascii="Rubik" w:hAnsi="Rubik" w:cs="Rubik" w:hint="cs"/>
          <w:sz w:val="22"/>
          <w:szCs w:val="22"/>
        </w:rPr>
        <w:t xml:space="preserve"> e, nel corso del triennio, prevederà che il beneficiario della borsa trascorra</w:t>
      </w:r>
      <w:r w:rsidRPr="00B430DF">
        <w:rPr>
          <w:rFonts w:ascii="Rubik" w:hAnsi="Rubik" w:cs="Rubik" w:hint="cs"/>
          <w:b/>
          <w:bCs/>
          <w:sz w:val="22"/>
          <w:szCs w:val="22"/>
        </w:rPr>
        <w:t xml:space="preserve"> in azienda</w:t>
      </w:r>
      <w:r w:rsidRPr="00B430DF">
        <w:rPr>
          <w:rFonts w:ascii="Rubik" w:hAnsi="Rubik" w:cs="Rubik" w:hint="cs"/>
          <w:sz w:val="22"/>
          <w:szCs w:val="22"/>
        </w:rPr>
        <w:t xml:space="preserve"> un periodo variabile </w:t>
      </w:r>
      <w:r w:rsidRPr="00B430DF">
        <w:rPr>
          <w:rFonts w:ascii="Rubik" w:hAnsi="Rubik" w:cs="Rubik" w:hint="cs"/>
          <w:b/>
          <w:bCs/>
          <w:sz w:val="22"/>
          <w:szCs w:val="22"/>
        </w:rPr>
        <w:t>tra 6 e 18 mesi</w:t>
      </w:r>
      <w:r w:rsidRPr="00B430DF">
        <w:rPr>
          <w:rFonts w:ascii="Rubik" w:hAnsi="Rubik" w:cs="Rubik" w:hint="cs"/>
          <w:sz w:val="22"/>
          <w:szCs w:val="22"/>
        </w:rPr>
        <w:t xml:space="preserve"> e un periodo presso un</w:t>
      </w:r>
      <w:r w:rsidR="00976EAB">
        <w:rPr>
          <w:rFonts w:ascii="Rubik" w:hAnsi="Rubik" w:cs="Rubik"/>
          <w:sz w:val="22"/>
          <w:szCs w:val="22"/>
        </w:rPr>
        <w:t>’</w:t>
      </w:r>
      <w:r w:rsidRPr="00B430DF">
        <w:rPr>
          <w:rFonts w:ascii="Rubik" w:hAnsi="Rubik" w:cs="Rubik" w:hint="cs"/>
          <w:b/>
          <w:bCs/>
          <w:sz w:val="22"/>
          <w:szCs w:val="22"/>
        </w:rPr>
        <w:t>università o centro di ricerca estero</w:t>
      </w:r>
      <w:r w:rsidRPr="00B430DF">
        <w:rPr>
          <w:rFonts w:ascii="Rubik" w:hAnsi="Rubik" w:cs="Rubik" w:hint="cs"/>
          <w:sz w:val="22"/>
          <w:szCs w:val="22"/>
        </w:rPr>
        <w:t xml:space="preserve">. </w:t>
      </w:r>
    </w:p>
    <w:p w14:paraId="3BD1ED29" w14:textId="77777777" w:rsidR="00B430DF" w:rsidRPr="00B430DF" w:rsidRDefault="00B430DF" w:rsidP="00B430DF">
      <w:pPr>
        <w:jc w:val="both"/>
        <w:rPr>
          <w:rFonts w:ascii="Rubik" w:hAnsi="Rubik" w:cs="Rubik"/>
          <w:sz w:val="22"/>
          <w:szCs w:val="22"/>
        </w:rPr>
      </w:pPr>
    </w:p>
    <w:p w14:paraId="4CBDEB30" w14:textId="0714158E" w:rsidR="00B430DF" w:rsidRPr="00B430DF" w:rsidRDefault="00B430DF" w:rsidP="00B430DF">
      <w:pPr>
        <w:jc w:val="both"/>
        <w:rPr>
          <w:rFonts w:ascii="Rubik" w:hAnsi="Rubik" w:cs="Rubik"/>
          <w:sz w:val="22"/>
          <w:szCs w:val="22"/>
        </w:rPr>
      </w:pPr>
      <w:r w:rsidRPr="00B430DF">
        <w:rPr>
          <w:rFonts w:ascii="Rubik" w:hAnsi="Rubik" w:cs="Rubik" w:hint="cs"/>
          <w:sz w:val="22"/>
          <w:szCs w:val="22"/>
        </w:rPr>
        <w:t xml:space="preserve">Le </w:t>
      </w:r>
      <w:r w:rsidRPr="00B430DF">
        <w:rPr>
          <w:rFonts w:ascii="Rubik" w:hAnsi="Rubik" w:cs="Rubik" w:hint="cs"/>
          <w:b/>
          <w:bCs/>
          <w:sz w:val="22"/>
          <w:szCs w:val="22"/>
        </w:rPr>
        <w:t>aree strategiche</w:t>
      </w:r>
      <w:r w:rsidRPr="00B430DF">
        <w:rPr>
          <w:rFonts w:ascii="Rubik" w:hAnsi="Rubik" w:cs="Rubik" w:hint="cs"/>
          <w:sz w:val="22"/>
          <w:szCs w:val="22"/>
        </w:rPr>
        <w:t xml:space="preserve"> che forniscono una guida a tutte le attività e alle ricerche che saranno</w:t>
      </w:r>
      <w:r>
        <w:rPr>
          <w:rFonts w:ascii="Rubik" w:hAnsi="Rubik" w:cs="Rubik"/>
          <w:sz w:val="22"/>
          <w:szCs w:val="22"/>
        </w:rPr>
        <w:t xml:space="preserve"> </w:t>
      </w:r>
      <w:r w:rsidRPr="00B430DF">
        <w:rPr>
          <w:rFonts w:ascii="Rubik" w:hAnsi="Rubik" w:cs="Rubik" w:hint="cs"/>
          <w:sz w:val="22"/>
          <w:szCs w:val="22"/>
        </w:rPr>
        <w:t>condotte dagli attori coinvolti sono le seguenti:</w:t>
      </w:r>
    </w:p>
    <w:p w14:paraId="2CF46F39" w14:textId="27047E0B" w:rsidR="00B430DF" w:rsidRPr="00B430DF" w:rsidRDefault="00B430DF" w:rsidP="00B430DF">
      <w:pPr>
        <w:pStyle w:val="Paragrafoelenco"/>
        <w:numPr>
          <w:ilvl w:val="0"/>
          <w:numId w:val="1"/>
        </w:numPr>
        <w:jc w:val="both"/>
        <w:rPr>
          <w:rFonts w:ascii="Rubik" w:hAnsi="Rubik" w:cs="Rubik"/>
          <w:sz w:val="22"/>
          <w:szCs w:val="22"/>
        </w:rPr>
      </w:pPr>
      <w:r w:rsidRPr="00B430DF">
        <w:rPr>
          <w:rFonts w:ascii="Rubik" w:hAnsi="Rubik" w:cs="Rubik" w:hint="cs"/>
          <w:sz w:val="22"/>
          <w:szCs w:val="22"/>
        </w:rPr>
        <w:t xml:space="preserve">Sviluppo </w:t>
      </w:r>
      <w:r w:rsidR="00F1195C">
        <w:rPr>
          <w:rFonts w:ascii="Rubik" w:hAnsi="Rubik" w:cs="Rubik"/>
          <w:sz w:val="22"/>
          <w:szCs w:val="22"/>
        </w:rPr>
        <w:t xml:space="preserve">e applicazione </w:t>
      </w:r>
      <w:r w:rsidRPr="00B430DF">
        <w:rPr>
          <w:rFonts w:ascii="Rubik" w:hAnsi="Rubik" w:cs="Rubik" w:hint="cs"/>
          <w:sz w:val="22"/>
          <w:szCs w:val="22"/>
        </w:rPr>
        <w:t>di sistemi robotici, macchine e componenti intelligenti</w:t>
      </w:r>
    </w:p>
    <w:p w14:paraId="385BAEEE" w14:textId="226C0D6E" w:rsidR="00B430DF" w:rsidRPr="00B430DF" w:rsidRDefault="00B430DF" w:rsidP="00B430DF">
      <w:pPr>
        <w:pStyle w:val="Paragrafoelenco"/>
        <w:numPr>
          <w:ilvl w:val="0"/>
          <w:numId w:val="1"/>
        </w:numPr>
        <w:jc w:val="both"/>
        <w:rPr>
          <w:rFonts w:ascii="Rubik" w:hAnsi="Rubik" w:cs="Rubik"/>
          <w:sz w:val="22"/>
          <w:szCs w:val="22"/>
        </w:rPr>
      </w:pPr>
      <w:r w:rsidRPr="00B430DF">
        <w:rPr>
          <w:rFonts w:ascii="Rubik" w:hAnsi="Rubik" w:cs="Rubik" w:hint="cs"/>
          <w:sz w:val="22"/>
          <w:szCs w:val="22"/>
        </w:rPr>
        <w:t>Sviluppo di materiali avanzati</w:t>
      </w:r>
      <w:r w:rsidR="00F1195C">
        <w:rPr>
          <w:rFonts w:ascii="Rubik" w:hAnsi="Rubik" w:cs="Rubik"/>
          <w:sz w:val="22"/>
          <w:szCs w:val="22"/>
        </w:rPr>
        <w:t xml:space="preserve"> per applicazione in sistemi di economia circolare</w:t>
      </w:r>
    </w:p>
    <w:p w14:paraId="3052B668" w14:textId="77777777" w:rsidR="00B430DF" w:rsidRPr="00B430DF" w:rsidRDefault="00B430DF" w:rsidP="00B430DF">
      <w:pPr>
        <w:pStyle w:val="Paragrafoelenco"/>
        <w:numPr>
          <w:ilvl w:val="0"/>
          <w:numId w:val="1"/>
        </w:numPr>
        <w:jc w:val="both"/>
        <w:rPr>
          <w:rFonts w:ascii="Rubik" w:hAnsi="Rubik" w:cs="Rubik"/>
          <w:sz w:val="22"/>
          <w:szCs w:val="22"/>
        </w:rPr>
      </w:pPr>
      <w:r w:rsidRPr="00B430DF">
        <w:rPr>
          <w:rFonts w:ascii="Rubik" w:hAnsi="Rubik" w:cs="Rubik" w:hint="cs"/>
          <w:sz w:val="22"/>
          <w:szCs w:val="22"/>
        </w:rPr>
        <w:t>Progettazione di prodotti e soluzioni green, intelligenti e altamente personalizzati</w:t>
      </w:r>
    </w:p>
    <w:p w14:paraId="702C745E" w14:textId="77777777" w:rsidR="00B430DF" w:rsidRPr="00B430DF" w:rsidRDefault="00B430DF" w:rsidP="00B430DF">
      <w:pPr>
        <w:pStyle w:val="Paragrafoelenco"/>
        <w:numPr>
          <w:ilvl w:val="0"/>
          <w:numId w:val="1"/>
        </w:numPr>
        <w:jc w:val="both"/>
        <w:rPr>
          <w:rFonts w:ascii="Rubik" w:hAnsi="Rubik" w:cs="Rubik"/>
          <w:sz w:val="22"/>
          <w:szCs w:val="22"/>
        </w:rPr>
      </w:pPr>
      <w:r w:rsidRPr="00B430DF">
        <w:rPr>
          <w:rFonts w:ascii="Rubik" w:hAnsi="Rubik" w:cs="Rubik" w:hint="cs"/>
          <w:sz w:val="22"/>
          <w:szCs w:val="22"/>
        </w:rPr>
        <w:lastRenderedPageBreak/>
        <w:t>Progettazione e sviluppo di sistemi di produzione flessibili, resilienti e centrati sull’uomo</w:t>
      </w:r>
    </w:p>
    <w:p w14:paraId="74792A03" w14:textId="77777777" w:rsidR="00B430DF" w:rsidRPr="00B430DF" w:rsidRDefault="00B430DF" w:rsidP="00B430DF">
      <w:pPr>
        <w:pStyle w:val="Paragrafoelenco"/>
        <w:numPr>
          <w:ilvl w:val="0"/>
          <w:numId w:val="1"/>
        </w:numPr>
        <w:jc w:val="both"/>
        <w:rPr>
          <w:rFonts w:ascii="Rubik" w:hAnsi="Rubik" w:cs="Rubik"/>
          <w:sz w:val="22"/>
          <w:szCs w:val="22"/>
        </w:rPr>
      </w:pPr>
      <w:r w:rsidRPr="00B430DF">
        <w:rPr>
          <w:rFonts w:ascii="Rubik" w:hAnsi="Rubik" w:cs="Rubik" w:hint="cs"/>
          <w:sz w:val="22"/>
          <w:szCs w:val="22"/>
        </w:rPr>
        <w:t xml:space="preserve">Sviluppo di metodi per la valutazione lungo tutto il ciclo di vita dell’impatto economico e ambientale di prodotti, servizi e processi </w:t>
      </w:r>
    </w:p>
    <w:p w14:paraId="674DBCA2" w14:textId="0177EA08" w:rsidR="00B430DF" w:rsidRPr="00B430DF" w:rsidRDefault="00B430DF" w:rsidP="00B430DF">
      <w:pPr>
        <w:pStyle w:val="Paragrafoelenco"/>
        <w:numPr>
          <w:ilvl w:val="0"/>
          <w:numId w:val="1"/>
        </w:numPr>
        <w:jc w:val="both"/>
        <w:rPr>
          <w:rFonts w:ascii="Rubik" w:hAnsi="Rubik" w:cs="Rubik"/>
          <w:sz w:val="22"/>
          <w:szCs w:val="22"/>
        </w:rPr>
      </w:pPr>
      <w:r w:rsidRPr="00B430DF">
        <w:rPr>
          <w:rFonts w:ascii="Rubik" w:hAnsi="Rubik" w:cs="Rubik" w:hint="cs"/>
          <w:sz w:val="22"/>
          <w:szCs w:val="22"/>
        </w:rPr>
        <w:t>Sviluppo di metodi per l’ottimizzazione del consumo energetico</w:t>
      </w:r>
      <w:r w:rsidR="00F1195C">
        <w:rPr>
          <w:rFonts w:ascii="Rubik" w:hAnsi="Rubik" w:cs="Rubik"/>
          <w:sz w:val="22"/>
          <w:szCs w:val="22"/>
        </w:rPr>
        <w:t xml:space="preserve"> in ambienti industriali e di servizi</w:t>
      </w:r>
    </w:p>
    <w:p w14:paraId="2C4A8352" w14:textId="77777777" w:rsidR="00B430DF" w:rsidRPr="00B430DF" w:rsidRDefault="00B430DF" w:rsidP="00B430DF">
      <w:pPr>
        <w:pStyle w:val="Paragrafoelenco"/>
        <w:numPr>
          <w:ilvl w:val="0"/>
          <w:numId w:val="1"/>
        </w:numPr>
        <w:jc w:val="both"/>
        <w:rPr>
          <w:rFonts w:ascii="Rubik" w:hAnsi="Rubik" w:cs="Rubik"/>
          <w:sz w:val="22"/>
          <w:szCs w:val="22"/>
        </w:rPr>
      </w:pPr>
      <w:r w:rsidRPr="00B430DF">
        <w:rPr>
          <w:rFonts w:ascii="Rubik" w:hAnsi="Rubik" w:cs="Rubik" w:hint="cs"/>
          <w:sz w:val="22"/>
          <w:szCs w:val="22"/>
        </w:rPr>
        <w:t>Sviluppo di modelli di business circolari e customer-</w:t>
      </w:r>
      <w:proofErr w:type="spellStart"/>
      <w:r w:rsidRPr="00B430DF">
        <w:rPr>
          <w:rFonts w:ascii="Rubik" w:hAnsi="Rubik" w:cs="Rubik" w:hint="cs"/>
          <w:sz w:val="22"/>
          <w:szCs w:val="22"/>
        </w:rPr>
        <w:t>centric</w:t>
      </w:r>
      <w:proofErr w:type="spellEnd"/>
    </w:p>
    <w:p w14:paraId="5E41E1EF" w14:textId="23EB6BBC" w:rsidR="009201F5" w:rsidRPr="00B430DF" w:rsidRDefault="00B430DF" w:rsidP="00B430DF">
      <w:pPr>
        <w:pStyle w:val="Paragrafoelenco"/>
        <w:numPr>
          <w:ilvl w:val="0"/>
          <w:numId w:val="1"/>
        </w:numPr>
        <w:jc w:val="both"/>
        <w:rPr>
          <w:rFonts w:ascii="Rubik" w:hAnsi="Rubik" w:cs="Rubik"/>
          <w:sz w:val="22"/>
          <w:szCs w:val="22"/>
        </w:rPr>
      </w:pPr>
      <w:r w:rsidRPr="00B430DF">
        <w:rPr>
          <w:rFonts w:ascii="Rubik" w:hAnsi="Rubik" w:cs="Rubik" w:hint="cs"/>
          <w:sz w:val="22"/>
          <w:szCs w:val="22"/>
        </w:rPr>
        <w:t xml:space="preserve">Sviluppo di nuovi modelli organizzativi e di governance </w:t>
      </w:r>
    </w:p>
    <w:sectPr w:rsidR="009201F5" w:rsidRPr="00B430DF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C9485" w14:textId="77777777" w:rsidR="00C4373A" w:rsidRDefault="00C4373A">
      <w:r>
        <w:separator/>
      </w:r>
    </w:p>
  </w:endnote>
  <w:endnote w:type="continuationSeparator" w:id="0">
    <w:p w14:paraId="624565CB" w14:textId="77777777" w:rsidR="00C4373A" w:rsidRDefault="00C43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ubik">
    <w:panose1 w:val="00000000000000000000"/>
    <w:charset w:val="B1"/>
    <w:family w:val="auto"/>
    <w:pitch w:val="variable"/>
    <w:sig w:usb0="A0000A6F" w:usb1="4000205B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CF54E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B5BA3FA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15AE8437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6312F603" w14:textId="3623B108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  <w:p w14:paraId="124B5EFE" w14:textId="30523055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</w:p>
  <w:p w14:paraId="393D6A88" w14:textId="2B915357" w:rsidR="004D6853" w:rsidRDefault="004D6853" w:rsidP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Brescia </w:t>
    </w:r>
  </w:p>
  <w:p w14:paraId="5C15042B" w14:textId="5BA5DDFD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Elisa Fontana</w:t>
    </w:r>
  </w:p>
  <w:p w14:paraId="05422C13" w14:textId="193E7B3E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elisa.fontana@unibs.it</w:t>
    </w:r>
  </w:p>
  <w:p w14:paraId="269BD70E" w14:textId="45C2C254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 w:rsidRPr="004D6853">
      <w:rPr>
        <w:rFonts w:ascii="Rubik" w:eastAsia="Rubik" w:hAnsi="Rubik" w:cs="Rubik"/>
        <w:color w:val="404040"/>
        <w:sz w:val="16"/>
        <w:szCs w:val="16"/>
      </w:rPr>
      <w:t>331 6693662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30CC2" w14:textId="77777777" w:rsidR="00C4373A" w:rsidRDefault="00C4373A">
      <w:r>
        <w:separator/>
      </w:r>
    </w:p>
  </w:footnote>
  <w:footnote w:type="continuationSeparator" w:id="0">
    <w:p w14:paraId="672F7DBF" w14:textId="77777777" w:rsidR="00C4373A" w:rsidRDefault="00C43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5467F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212A10A6" wp14:editId="65CD62C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2" name="image3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4373A">
      <w:rPr>
        <w:rFonts w:ascii="Calibri" w:eastAsia="Calibri" w:hAnsi="Calibri" w:cs="Calibri"/>
        <w:color w:val="000000"/>
      </w:rPr>
      <w:pict w14:anchorId="135463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Header_DirettoreGenerale_Tavola disegno 1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B2A7E" w14:textId="1EE7F83B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114300" distR="114300" simplePos="0" relativeHeight="251660800" behindDoc="0" locked="0" layoutInCell="1" allowOverlap="1" wp14:anchorId="165717DA" wp14:editId="7260B4E5">
          <wp:simplePos x="0" y="0"/>
          <wp:positionH relativeFrom="margin">
            <wp:posOffset>4274820</wp:posOffset>
          </wp:positionH>
          <wp:positionV relativeFrom="paragraph">
            <wp:posOffset>140969</wp:posOffset>
          </wp:positionV>
          <wp:extent cx="1655323" cy="810015"/>
          <wp:effectExtent l="0" t="0" r="2540" b="952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474" cy="8154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100691" w14:textId="6AECF10A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13638DE2" w14:textId="77777777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4EA88F04" w14:textId="77777777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5484CB12" w14:textId="63BD2EA9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38895275" w14:textId="37E2A3A5" w:rsidR="009201F5" w:rsidRDefault="00C4373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3C1C5B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Header_generico_Tavola disegno 1" style="position:absolute;margin-left:-71.05pt;margin-top:-128.75pt;width:196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2" o:title="image2" cropright="43914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68093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5E86CF60" wp14:editId="74CE84C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" name="image3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4373A">
      <w:rPr>
        <w:rFonts w:ascii="Calibri" w:eastAsia="Calibri" w:hAnsi="Calibri" w:cs="Calibri"/>
        <w:color w:val="000000"/>
      </w:rPr>
      <w:pict w14:anchorId="31C84C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Header_DirettoreGenerale_Tavola disegno 1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F3888"/>
    <w:multiLevelType w:val="hybridMultilevel"/>
    <w:tmpl w:val="1562A680"/>
    <w:lvl w:ilvl="0" w:tplc="313E8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1F5"/>
    <w:rsid w:val="00026B5E"/>
    <w:rsid w:val="000E30F9"/>
    <w:rsid w:val="00112EB1"/>
    <w:rsid w:val="00124505"/>
    <w:rsid w:val="00185B06"/>
    <w:rsid w:val="001A5ECD"/>
    <w:rsid w:val="001C63A4"/>
    <w:rsid w:val="00210A87"/>
    <w:rsid w:val="0026771B"/>
    <w:rsid w:val="00322702"/>
    <w:rsid w:val="003B3778"/>
    <w:rsid w:val="003B541F"/>
    <w:rsid w:val="003C2678"/>
    <w:rsid w:val="003F7E75"/>
    <w:rsid w:val="004A1258"/>
    <w:rsid w:val="004A6EB2"/>
    <w:rsid w:val="004D6853"/>
    <w:rsid w:val="00614C58"/>
    <w:rsid w:val="006A4596"/>
    <w:rsid w:val="006C468B"/>
    <w:rsid w:val="007014C3"/>
    <w:rsid w:val="0077620C"/>
    <w:rsid w:val="007C5A80"/>
    <w:rsid w:val="007E36E5"/>
    <w:rsid w:val="00800CBF"/>
    <w:rsid w:val="00846056"/>
    <w:rsid w:val="00850BFB"/>
    <w:rsid w:val="0087443F"/>
    <w:rsid w:val="008A15CA"/>
    <w:rsid w:val="008A2321"/>
    <w:rsid w:val="008F0C1C"/>
    <w:rsid w:val="009201F5"/>
    <w:rsid w:val="00976EAB"/>
    <w:rsid w:val="009965E2"/>
    <w:rsid w:val="009B3BDF"/>
    <w:rsid w:val="009C05F0"/>
    <w:rsid w:val="00A150AF"/>
    <w:rsid w:val="00A23DDF"/>
    <w:rsid w:val="00B072B1"/>
    <w:rsid w:val="00B12175"/>
    <w:rsid w:val="00B37397"/>
    <w:rsid w:val="00B422E5"/>
    <w:rsid w:val="00B42429"/>
    <w:rsid w:val="00B430DF"/>
    <w:rsid w:val="00B649A8"/>
    <w:rsid w:val="00BB6D13"/>
    <w:rsid w:val="00C17AB6"/>
    <w:rsid w:val="00C27830"/>
    <w:rsid w:val="00C4373A"/>
    <w:rsid w:val="00C94853"/>
    <w:rsid w:val="00CA1EA2"/>
    <w:rsid w:val="00D430B2"/>
    <w:rsid w:val="00D93627"/>
    <w:rsid w:val="00DC0122"/>
    <w:rsid w:val="00E02E57"/>
    <w:rsid w:val="00E624AC"/>
    <w:rsid w:val="00E9432E"/>
    <w:rsid w:val="00EA045A"/>
    <w:rsid w:val="00EE56AD"/>
    <w:rsid w:val="00EF3377"/>
    <w:rsid w:val="00EF39B8"/>
    <w:rsid w:val="00F1195C"/>
    <w:rsid w:val="00F34EE2"/>
    <w:rsid w:val="00F70A6A"/>
    <w:rsid w:val="00FD1136"/>
    <w:rsid w:val="00FF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B02F4D4"/>
  <w15:docId w15:val="{BF978431-87DB-9242-9A6A-9C2CDDBC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3627"/>
  </w:style>
  <w:style w:type="paragraph" w:styleId="Titolo1">
    <w:name w:val="heading 1"/>
    <w:basedOn w:val="Normale"/>
    <w:next w:val="Normale"/>
    <w:uiPriority w:val="9"/>
    <w:qFormat/>
    <w:pPr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D9362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93627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B072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2B1"/>
  </w:style>
  <w:style w:type="paragraph" w:styleId="Paragrafoelenco">
    <w:name w:val="List Paragraph"/>
    <w:basedOn w:val="Normale"/>
    <w:uiPriority w:val="34"/>
    <w:qFormat/>
    <w:rsid w:val="00B430D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Enfasigrassetto">
    <w:name w:val="Strong"/>
    <w:basedOn w:val="Carpredefinitoparagrafo"/>
    <w:uiPriority w:val="22"/>
    <w:qFormat/>
    <w:rsid w:val="007014C3"/>
    <w:rPr>
      <w:b/>
      <w:bCs/>
    </w:rPr>
  </w:style>
  <w:style w:type="paragraph" w:styleId="Revisione">
    <w:name w:val="Revision"/>
    <w:hidden/>
    <w:uiPriority w:val="99"/>
    <w:semiHidden/>
    <w:rsid w:val="00267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3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Brunelli</dc:creator>
  <cp:lastModifiedBy>Martina Cerea</cp:lastModifiedBy>
  <cp:revision>5</cp:revision>
  <dcterms:created xsi:type="dcterms:W3CDTF">2022-05-23T08:06:00Z</dcterms:created>
  <dcterms:modified xsi:type="dcterms:W3CDTF">2022-05-23T08:36:00Z</dcterms:modified>
</cp:coreProperties>
</file>