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462F6" w14:textId="77777777" w:rsidR="00A17E25" w:rsidRDefault="00D134C4" w:rsidP="00A17E25">
      <w:pPr>
        <w:spacing w:after="120"/>
        <w:jc w:val="center"/>
        <w:rPr>
          <w:rFonts w:ascii="Rubik" w:eastAsia="Rubik" w:hAnsi="Rubik" w:cs="Rubik"/>
          <w:color w:val="333333"/>
          <w:sz w:val="20"/>
          <w:szCs w:val="20"/>
          <w:u w:val="single"/>
        </w:rPr>
      </w:pPr>
      <w:r>
        <w:rPr>
          <w:rFonts w:ascii="Rubik" w:eastAsia="Rubik" w:hAnsi="Rubik" w:cs="Rubik"/>
          <w:color w:val="333333"/>
          <w:sz w:val="20"/>
          <w:szCs w:val="20"/>
          <w:highlight w:val="white"/>
          <w:u w:val="single"/>
        </w:rPr>
        <w:t xml:space="preserve">COMUNICATO </w:t>
      </w:r>
      <w:r w:rsidR="004B0492" w:rsidRPr="007E36E5">
        <w:rPr>
          <w:rFonts w:ascii="Rubik" w:eastAsia="Rubik" w:hAnsi="Rubik" w:cs="Rubik"/>
          <w:color w:val="333333"/>
          <w:sz w:val="20"/>
          <w:szCs w:val="20"/>
          <w:highlight w:val="white"/>
          <w:u w:val="single"/>
        </w:rPr>
        <w:t>STAMPA</w:t>
      </w:r>
    </w:p>
    <w:p w14:paraId="18CD63A0" w14:textId="7B364FC7" w:rsidR="0045280A" w:rsidRPr="0045280A" w:rsidRDefault="0045280A" w:rsidP="0045280A">
      <w:pPr>
        <w:pStyle w:val="Nessunaspaziatura"/>
        <w:jc w:val="center"/>
        <w:rPr>
          <w:rStyle w:val="A3"/>
          <w:rFonts w:ascii="Rubik" w:hAnsi="Rubik" w:cs="Rubik"/>
          <w:sz w:val="24"/>
          <w:szCs w:val="24"/>
        </w:rPr>
      </w:pPr>
      <w:r w:rsidRPr="0045280A">
        <w:rPr>
          <w:rStyle w:val="A3"/>
          <w:rFonts w:ascii="Rubik" w:hAnsi="Rubik" w:cs="Rubik"/>
          <w:sz w:val="24"/>
          <w:szCs w:val="24"/>
        </w:rPr>
        <w:t>RICORDANDO FALCONE E BORSELLINO, A TRENT’ANNI DALLE STRAGI.</w:t>
      </w:r>
    </w:p>
    <w:p w14:paraId="1A739ED5" w14:textId="60A12393" w:rsidR="0045280A" w:rsidRPr="0045280A" w:rsidRDefault="0045280A" w:rsidP="0045280A">
      <w:pPr>
        <w:pStyle w:val="Nessunaspaziatura"/>
        <w:jc w:val="center"/>
        <w:rPr>
          <w:rStyle w:val="A3"/>
          <w:rFonts w:ascii="Rubik" w:hAnsi="Rubik" w:cs="Rubik"/>
          <w:sz w:val="24"/>
          <w:szCs w:val="24"/>
        </w:rPr>
      </w:pPr>
      <w:r w:rsidRPr="0045280A">
        <w:rPr>
          <w:rStyle w:val="A3"/>
          <w:rFonts w:ascii="Rubik" w:hAnsi="Rubik" w:cs="Rubik"/>
          <w:sz w:val="24"/>
          <w:szCs w:val="24"/>
        </w:rPr>
        <w:t>L’UNIVERSITÀ DI BERGAMO VINCE UN BANDO SULLA LEGALITÀ</w:t>
      </w:r>
    </w:p>
    <w:p w14:paraId="4DDBE3B7" w14:textId="77777777" w:rsidR="00DE4FB0" w:rsidRPr="0045280A" w:rsidRDefault="00DE4FB0" w:rsidP="00DE4FB0">
      <w:pPr>
        <w:pStyle w:val="Standard"/>
        <w:shd w:val="clear" w:color="auto" w:fill="FFFFFF"/>
        <w:jc w:val="both"/>
        <w:rPr>
          <w:rFonts w:ascii="Rubik" w:hAnsi="Rubik" w:cs="Rubik"/>
          <w:color w:val="222222"/>
        </w:rPr>
      </w:pPr>
    </w:p>
    <w:p w14:paraId="6322C649" w14:textId="1CD669F3" w:rsidR="0045280A" w:rsidRPr="0045280A" w:rsidRDefault="00DE4FB0" w:rsidP="0045280A">
      <w:pPr>
        <w:pStyle w:val="Standard"/>
        <w:shd w:val="clear" w:color="auto" w:fill="FFFFFF"/>
        <w:jc w:val="both"/>
        <w:rPr>
          <w:rFonts w:ascii="Rubik" w:hAnsi="Rubik" w:cs="Rubik"/>
          <w:sz w:val="22"/>
          <w:szCs w:val="22"/>
        </w:rPr>
      </w:pPr>
      <w:r w:rsidRPr="0045280A">
        <w:rPr>
          <w:rFonts w:ascii="Rubik" w:hAnsi="Rubik" w:cs="Rubik"/>
          <w:i/>
          <w:iCs/>
          <w:color w:val="222222"/>
          <w:sz w:val="22"/>
          <w:szCs w:val="22"/>
        </w:rPr>
        <w:t xml:space="preserve">Bergamo, </w:t>
      </w:r>
      <w:r w:rsidR="00E5661A" w:rsidRPr="0045280A">
        <w:rPr>
          <w:rFonts w:ascii="Rubik" w:hAnsi="Rubik" w:cs="Rubik"/>
          <w:i/>
          <w:iCs/>
          <w:color w:val="222222"/>
          <w:sz w:val="22"/>
          <w:szCs w:val="22"/>
        </w:rPr>
        <w:t>1</w:t>
      </w:r>
      <w:r w:rsidR="00303DED">
        <w:rPr>
          <w:rFonts w:ascii="Rubik" w:hAnsi="Rubik" w:cs="Rubik"/>
          <w:i/>
          <w:iCs/>
          <w:color w:val="222222"/>
          <w:sz w:val="22"/>
          <w:szCs w:val="22"/>
        </w:rPr>
        <w:t>5</w:t>
      </w:r>
      <w:r w:rsidRPr="0045280A">
        <w:rPr>
          <w:rFonts w:ascii="Rubik" w:hAnsi="Rubik" w:cs="Rubik"/>
          <w:i/>
          <w:iCs/>
          <w:color w:val="222222"/>
          <w:sz w:val="22"/>
          <w:szCs w:val="22"/>
        </w:rPr>
        <w:t xml:space="preserve"> settembre 2022 –</w:t>
      </w:r>
      <w:r w:rsidRPr="0045280A">
        <w:rPr>
          <w:rFonts w:ascii="Rubik" w:hAnsi="Rubik" w:cs="Rubik"/>
          <w:color w:val="222222"/>
          <w:sz w:val="22"/>
          <w:szCs w:val="22"/>
        </w:rPr>
        <w:t xml:space="preserve"> </w:t>
      </w:r>
      <w:r w:rsidR="0045280A" w:rsidRPr="0045280A">
        <w:rPr>
          <w:rFonts w:ascii="Rubik" w:hAnsi="Rubik" w:cs="Rubik"/>
          <w:sz w:val="22"/>
          <w:szCs w:val="22"/>
        </w:rPr>
        <w:t xml:space="preserve">Le attività dell’anno accademico non sono ancora del tutto riprese, ma l’Università di Bergamo ha già ottenuto un </w:t>
      </w:r>
      <w:r w:rsidR="0045280A" w:rsidRPr="0045280A">
        <w:rPr>
          <w:rFonts w:ascii="Rubik" w:hAnsi="Rubik" w:cs="Rubik"/>
          <w:b/>
          <w:bCs/>
          <w:sz w:val="22"/>
          <w:szCs w:val="22"/>
        </w:rPr>
        <w:t>importante finanziamento</w:t>
      </w:r>
      <w:r w:rsidR="0045280A" w:rsidRPr="0045280A">
        <w:rPr>
          <w:rFonts w:ascii="Rubik" w:hAnsi="Rubik" w:cs="Rubik"/>
          <w:sz w:val="22"/>
          <w:szCs w:val="22"/>
        </w:rPr>
        <w:t xml:space="preserve"> in tema di antimafia. Si tratta del progetto “</w:t>
      </w:r>
      <w:r w:rsidR="0045280A" w:rsidRPr="0045280A">
        <w:rPr>
          <w:rFonts w:ascii="Rubik" w:hAnsi="Rubik" w:cs="Rubik"/>
          <w:b/>
          <w:bCs/>
          <w:sz w:val="22"/>
          <w:szCs w:val="22"/>
        </w:rPr>
        <w:t>Memoria e riparazione: a trent’anni dalle stragi, sguardi verso un futuro di libertà dalle mafie</w:t>
      </w:r>
      <w:r w:rsidR="0045280A" w:rsidRPr="0045280A">
        <w:rPr>
          <w:rFonts w:ascii="Rubik" w:hAnsi="Rubik" w:cs="Rubik"/>
          <w:sz w:val="22"/>
          <w:szCs w:val="22"/>
        </w:rPr>
        <w:t xml:space="preserve">”, finanziato per </w:t>
      </w:r>
      <w:r w:rsidR="0045280A" w:rsidRPr="0045280A">
        <w:rPr>
          <w:rFonts w:ascii="Rubik" w:hAnsi="Rubik" w:cs="Rubik"/>
          <w:b/>
          <w:bCs/>
          <w:sz w:val="22"/>
          <w:szCs w:val="22"/>
        </w:rPr>
        <w:t>50 mila euro</w:t>
      </w:r>
      <w:r w:rsidR="0045280A" w:rsidRPr="0045280A">
        <w:rPr>
          <w:rFonts w:ascii="Rubik" w:hAnsi="Rubik" w:cs="Rubik"/>
          <w:sz w:val="22"/>
          <w:szCs w:val="22"/>
        </w:rPr>
        <w:t xml:space="preserve"> da un bando che il Ministero dell’Università e Ricerca ha voluto approvare in occasione dell’anniversario della strage di Capaci, con l’obiettivo di tenere vivo il ricordo dei martiri uccisi dalle mafie.</w:t>
      </w:r>
    </w:p>
    <w:p w14:paraId="07C1F871" w14:textId="77777777" w:rsidR="0045280A" w:rsidRPr="0045280A" w:rsidRDefault="0045280A" w:rsidP="0045280A">
      <w:pPr>
        <w:pStyle w:val="Standard"/>
        <w:shd w:val="clear" w:color="auto" w:fill="FFFFFF"/>
        <w:jc w:val="both"/>
        <w:rPr>
          <w:rFonts w:ascii="Rubik" w:hAnsi="Rubik" w:cs="Rubik"/>
          <w:sz w:val="22"/>
          <w:szCs w:val="22"/>
        </w:rPr>
      </w:pPr>
    </w:p>
    <w:p w14:paraId="120E5414" w14:textId="77777777" w:rsidR="0045280A" w:rsidRDefault="0045280A" w:rsidP="0045280A">
      <w:pPr>
        <w:jc w:val="both"/>
        <w:rPr>
          <w:rStyle w:val="A3"/>
          <w:rFonts w:ascii="Rubik" w:hAnsi="Rubik" w:cs="Rubik"/>
          <w:i/>
          <w:iCs/>
          <w:sz w:val="22"/>
          <w:szCs w:val="22"/>
        </w:rPr>
      </w:pPr>
      <w:r w:rsidRPr="0045280A">
        <w:rPr>
          <w:rFonts w:ascii="Rubik" w:hAnsi="Rubik" w:cs="Rubik"/>
          <w:sz w:val="22"/>
          <w:szCs w:val="22"/>
        </w:rPr>
        <w:t xml:space="preserve">Come ricorda il magnifico </w:t>
      </w:r>
      <w:r w:rsidRPr="0045280A">
        <w:rPr>
          <w:rFonts w:ascii="Rubik" w:hAnsi="Rubik" w:cs="Rubik"/>
          <w:b/>
          <w:sz w:val="22"/>
          <w:szCs w:val="22"/>
        </w:rPr>
        <w:t>Rettore</w:t>
      </w:r>
      <w:r w:rsidRPr="0045280A">
        <w:rPr>
          <w:rFonts w:ascii="Rubik" w:hAnsi="Rubik" w:cs="Rubik"/>
          <w:sz w:val="22"/>
          <w:szCs w:val="22"/>
        </w:rPr>
        <w:t>, prof</w:t>
      </w:r>
      <w:r>
        <w:rPr>
          <w:rFonts w:ascii="Rubik" w:hAnsi="Rubik" w:cs="Rubik"/>
          <w:sz w:val="22"/>
          <w:szCs w:val="22"/>
        </w:rPr>
        <w:t>.</w:t>
      </w:r>
      <w:r w:rsidRPr="0045280A">
        <w:rPr>
          <w:rFonts w:ascii="Rubik" w:hAnsi="Rubik" w:cs="Rubik"/>
          <w:sz w:val="22"/>
          <w:szCs w:val="22"/>
        </w:rPr>
        <w:t xml:space="preserve"> </w:t>
      </w:r>
      <w:r w:rsidRPr="0045280A">
        <w:rPr>
          <w:rFonts w:ascii="Rubik" w:hAnsi="Rubik" w:cs="Rubik"/>
          <w:b/>
          <w:sz w:val="22"/>
          <w:szCs w:val="22"/>
        </w:rPr>
        <w:t>Sergio Cavalieri</w:t>
      </w:r>
      <w:r w:rsidRPr="0045280A">
        <w:rPr>
          <w:rFonts w:ascii="Rubik" w:hAnsi="Rubik" w:cs="Rubik"/>
          <w:sz w:val="22"/>
          <w:szCs w:val="22"/>
        </w:rPr>
        <w:t xml:space="preserve">, l’Ateneo ha voluto partecipare al bando per porsi come attore di primo piano nel diffondere i temi della legalità e sensibilizzare la cittadinanza su una questione di grande importanza per il territorio bergamasco: </w:t>
      </w:r>
      <w:r w:rsidRPr="0045280A">
        <w:rPr>
          <w:rFonts w:ascii="Rubik" w:hAnsi="Rubik" w:cs="Rubik"/>
          <w:i/>
          <w:iCs/>
          <w:sz w:val="22"/>
          <w:szCs w:val="22"/>
        </w:rPr>
        <w:t xml:space="preserve">“Sono molto lieto che l’Università di Bergamo abbia ottenuto il finanziamento che ci consente di realizzare attività rivolte a scuole e cittadinanze per </w:t>
      </w:r>
      <w:r w:rsidRPr="0045280A">
        <w:rPr>
          <w:rStyle w:val="A3"/>
          <w:rFonts w:ascii="Rubik" w:hAnsi="Rubik" w:cs="Rubik"/>
          <w:i/>
          <w:iCs/>
          <w:sz w:val="22"/>
          <w:szCs w:val="22"/>
        </w:rPr>
        <w:t xml:space="preserve">sensibilizzare in tema di criminalità organizzata e contribuire alla diffusione della legalità. Tengo molto a sottolineare come si tratti di un progetto che tiene insieme le tre ‘missioni’ dell’Università, ossia ricerca, didattica e terza missione per le tante attività rivolte alla cittadinanza e realizzate con enti del terzo settore”. </w:t>
      </w:r>
    </w:p>
    <w:p w14:paraId="3341D50A" w14:textId="77777777" w:rsidR="0045280A" w:rsidRDefault="0045280A" w:rsidP="0045280A">
      <w:pPr>
        <w:jc w:val="both"/>
        <w:rPr>
          <w:rStyle w:val="A3"/>
          <w:rFonts w:ascii="Rubik" w:hAnsi="Rubik" w:cs="Rubik"/>
          <w:i/>
          <w:iCs/>
          <w:sz w:val="22"/>
          <w:szCs w:val="22"/>
        </w:rPr>
      </w:pPr>
    </w:p>
    <w:p w14:paraId="481DD0B6" w14:textId="7F96AD6E" w:rsidR="0045280A" w:rsidRDefault="0045280A" w:rsidP="0045280A">
      <w:pPr>
        <w:jc w:val="both"/>
        <w:rPr>
          <w:rFonts w:ascii="Rubik" w:hAnsi="Rubik" w:cs="Rubik"/>
          <w:sz w:val="22"/>
          <w:szCs w:val="22"/>
        </w:rPr>
      </w:pPr>
      <w:r w:rsidRPr="0045280A">
        <w:rPr>
          <w:rFonts w:ascii="Rubik" w:hAnsi="Rubik" w:cs="Rubik"/>
          <w:bCs/>
          <w:sz w:val="22"/>
          <w:szCs w:val="22"/>
        </w:rPr>
        <w:t xml:space="preserve">Fondamentale per il conseguimento del finanziamento è infatti stata l’ampia condivisione su cui l’Università ha potuto contare e che vede coinvolti soggetti sia pubblici, sia del privato sociale e del terzo settore. Hanno infatti aderito </w:t>
      </w:r>
      <w:r w:rsidRPr="0045280A">
        <w:rPr>
          <w:rFonts w:ascii="Rubik" w:hAnsi="Rubik" w:cs="Rubik"/>
          <w:b/>
          <w:bCs/>
          <w:sz w:val="22"/>
          <w:szCs w:val="22"/>
        </w:rPr>
        <w:t>Comune</w:t>
      </w:r>
      <w:r w:rsidRPr="0045280A">
        <w:rPr>
          <w:rFonts w:ascii="Rubik" w:hAnsi="Rubik" w:cs="Rubik"/>
          <w:sz w:val="22"/>
          <w:szCs w:val="22"/>
        </w:rPr>
        <w:t xml:space="preserve"> e </w:t>
      </w:r>
      <w:r w:rsidRPr="0045280A">
        <w:rPr>
          <w:rFonts w:ascii="Rubik" w:hAnsi="Rubik" w:cs="Rubik"/>
          <w:b/>
          <w:bCs/>
          <w:sz w:val="22"/>
          <w:szCs w:val="22"/>
        </w:rPr>
        <w:t>Provincia</w:t>
      </w:r>
      <w:r w:rsidRPr="0045280A">
        <w:rPr>
          <w:rFonts w:ascii="Rubik" w:hAnsi="Rubik" w:cs="Rubik"/>
          <w:sz w:val="22"/>
          <w:szCs w:val="22"/>
        </w:rPr>
        <w:t xml:space="preserve"> di Bergamo e due istituti superiori, l’</w:t>
      </w:r>
      <w:r w:rsidRPr="0045280A">
        <w:rPr>
          <w:rFonts w:ascii="Rubik" w:hAnsi="Rubik" w:cs="Rubik"/>
          <w:b/>
          <w:bCs/>
          <w:sz w:val="22"/>
          <w:szCs w:val="22"/>
        </w:rPr>
        <w:t>Istituto Natta</w:t>
      </w:r>
      <w:r w:rsidRPr="0045280A">
        <w:rPr>
          <w:rFonts w:ascii="Rubik" w:hAnsi="Rubik" w:cs="Rubik"/>
          <w:sz w:val="22"/>
          <w:szCs w:val="22"/>
        </w:rPr>
        <w:t xml:space="preserve"> come CPL-Centro di Promozione della Legalità provincia di Bergamo e l’</w:t>
      </w:r>
      <w:r w:rsidRPr="0045280A">
        <w:rPr>
          <w:rFonts w:ascii="Rubik" w:hAnsi="Rubik" w:cs="Rubik"/>
          <w:b/>
          <w:bCs/>
          <w:sz w:val="22"/>
          <w:szCs w:val="22"/>
        </w:rPr>
        <w:t>ITIS</w:t>
      </w:r>
      <w:r w:rsidRPr="0045280A">
        <w:rPr>
          <w:rFonts w:ascii="Rubik" w:hAnsi="Rubik" w:cs="Rubik"/>
          <w:sz w:val="22"/>
          <w:szCs w:val="22"/>
        </w:rPr>
        <w:t xml:space="preserve"> </w:t>
      </w:r>
      <w:r w:rsidRPr="0045280A">
        <w:rPr>
          <w:rFonts w:ascii="Rubik" w:hAnsi="Rubik" w:cs="Rubik"/>
          <w:b/>
          <w:bCs/>
          <w:sz w:val="22"/>
          <w:szCs w:val="22"/>
        </w:rPr>
        <w:t>Belotti</w:t>
      </w:r>
      <w:r w:rsidRPr="0045280A">
        <w:rPr>
          <w:rFonts w:ascii="Rubik" w:hAnsi="Rubik" w:cs="Rubik"/>
          <w:sz w:val="22"/>
          <w:szCs w:val="22"/>
        </w:rPr>
        <w:t xml:space="preserve"> per la giustizia riparativa, il </w:t>
      </w:r>
      <w:r w:rsidRPr="0045280A">
        <w:rPr>
          <w:rFonts w:ascii="Rubik" w:hAnsi="Rubik" w:cs="Rubik"/>
          <w:b/>
          <w:bCs/>
          <w:sz w:val="22"/>
          <w:szCs w:val="22"/>
        </w:rPr>
        <w:t>Coordinamento enti locali per la Pace</w:t>
      </w:r>
      <w:r w:rsidRPr="0045280A">
        <w:rPr>
          <w:rFonts w:ascii="Rubik" w:hAnsi="Rubik" w:cs="Rubik"/>
          <w:sz w:val="22"/>
          <w:szCs w:val="22"/>
        </w:rPr>
        <w:t>,</w:t>
      </w:r>
      <w:r w:rsidRPr="0045280A">
        <w:rPr>
          <w:rFonts w:ascii="Rubik" w:hAnsi="Rubik" w:cs="Rubik"/>
          <w:bCs/>
          <w:sz w:val="22"/>
          <w:szCs w:val="22"/>
        </w:rPr>
        <w:t xml:space="preserve"> l’</w:t>
      </w:r>
      <w:r w:rsidRPr="0045280A">
        <w:rPr>
          <w:rFonts w:ascii="Rubik" w:hAnsi="Rubik" w:cs="Rubik"/>
          <w:b/>
          <w:sz w:val="22"/>
          <w:szCs w:val="22"/>
        </w:rPr>
        <w:t>Ufficio Giustizia riparativa di Caritas bergamasca</w:t>
      </w:r>
      <w:r w:rsidRPr="0045280A">
        <w:rPr>
          <w:rFonts w:ascii="Rubik" w:hAnsi="Rubik" w:cs="Rubik"/>
          <w:bCs/>
          <w:sz w:val="22"/>
          <w:szCs w:val="22"/>
        </w:rPr>
        <w:t xml:space="preserve">, l’associazione </w:t>
      </w:r>
      <w:r w:rsidRPr="0045280A">
        <w:rPr>
          <w:rFonts w:ascii="Rubik" w:hAnsi="Rubik" w:cs="Rubik"/>
          <w:b/>
          <w:bCs/>
          <w:sz w:val="22"/>
          <w:szCs w:val="22"/>
        </w:rPr>
        <w:t>Libera</w:t>
      </w:r>
      <w:r w:rsidRPr="0045280A">
        <w:rPr>
          <w:rFonts w:ascii="Rubik" w:hAnsi="Rubik" w:cs="Rubik"/>
          <w:bCs/>
          <w:sz w:val="22"/>
          <w:szCs w:val="22"/>
        </w:rPr>
        <w:t xml:space="preserve">, </w:t>
      </w:r>
      <w:r w:rsidRPr="0045280A">
        <w:rPr>
          <w:rFonts w:ascii="Rubik" w:hAnsi="Rubik" w:cs="Rubik"/>
          <w:b/>
          <w:bCs/>
          <w:sz w:val="22"/>
          <w:szCs w:val="22"/>
        </w:rPr>
        <w:t>Carcere e Territorio</w:t>
      </w:r>
      <w:r w:rsidRPr="0045280A">
        <w:rPr>
          <w:rFonts w:ascii="Rubik" w:hAnsi="Rubik" w:cs="Rubik"/>
          <w:bCs/>
          <w:sz w:val="22"/>
          <w:szCs w:val="22"/>
        </w:rPr>
        <w:t>. Importante l’adesione dell’</w:t>
      </w:r>
      <w:r w:rsidRPr="0045280A">
        <w:rPr>
          <w:rFonts w:ascii="Rubik" w:hAnsi="Rubik" w:cs="Rubik"/>
          <w:b/>
          <w:bCs/>
          <w:sz w:val="22"/>
          <w:szCs w:val="22"/>
        </w:rPr>
        <w:t>Università di Catania</w:t>
      </w:r>
      <w:r w:rsidRPr="0045280A">
        <w:rPr>
          <w:rFonts w:ascii="Rubik" w:hAnsi="Rubik" w:cs="Rubik"/>
          <w:sz w:val="22"/>
          <w:szCs w:val="22"/>
        </w:rPr>
        <w:t xml:space="preserve"> e della </w:t>
      </w:r>
      <w:r w:rsidRPr="0045280A">
        <w:rPr>
          <w:rFonts w:ascii="Rubik" w:hAnsi="Rubik" w:cs="Rubik"/>
          <w:b/>
          <w:bCs/>
          <w:sz w:val="22"/>
          <w:szCs w:val="22"/>
        </w:rPr>
        <w:t>Fondazione Caponnetto</w:t>
      </w:r>
      <w:r w:rsidRPr="0045280A">
        <w:rPr>
          <w:rFonts w:ascii="Rubik" w:hAnsi="Rubik" w:cs="Rubik"/>
          <w:sz w:val="22"/>
          <w:szCs w:val="22"/>
        </w:rPr>
        <w:t xml:space="preserve"> che danno un valore aggiunto alle attività di visita e scambio di studenti.</w:t>
      </w:r>
    </w:p>
    <w:p w14:paraId="52885C21" w14:textId="77777777" w:rsidR="0045280A" w:rsidRPr="0045280A" w:rsidRDefault="0045280A" w:rsidP="0045280A">
      <w:pPr>
        <w:jc w:val="both"/>
        <w:rPr>
          <w:rFonts w:ascii="Rubik" w:hAnsi="Rubik" w:cs="Rubik"/>
          <w:sz w:val="22"/>
          <w:szCs w:val="22"/>
        </w:rPr>
      </w:pPr>
    </w:p>
    <w:p w14:paraId="05C95A4C" w14:textId="77777777" w:rsidR="0045280A" w:rsidRDefault="0045280A" w:rsidP="0045280A">
      <w:pPr>
        <w:jc w:val="both"/>
        <w:rPr>
          <w:rFonts w:ascii="Rubik" w:hAnsi="Rubik" w:cs="Rubik"/>
          <w:sz w:val="22"/>
          <w:szCs w:val="22"/>
        </w:rPr>
      </w:pPr>
      <w:r w:rsidRPr="0045280A">
        <w:rPr>
          <w:rStyle w:val="A3"/>
          <w:rFonts w:ascii="Rubik" w:hAnsi="Rubik" w:cs="Rubik"/>
          <w:sz w:val="22"/>
          <w:szCs w:val="22"/>
        </w:rPr>
        <w:t>Il progetto sarà realizzato dal Dipartimento di Giurisprudenza</w:t>
      </w:r>
      <w:r>
        <w:rPr>
          <w:rStyle w:val="A3"/>
          <w:rFonts w:ascii="Rubik" w:hAnsi="Rubik" w:cs="Rubik"/>
          <w:sz w:val="22"/>
          <w:szCs w:val="22"/>
        </w:rPr>
        <w:t>,</w:t>
      </w:r>
      <w:r w:rsidRPr="0045280A">
        <w:rPr>
          <w:rStyle w:val="A3"/>
          <w:rFonts w:ascii="Rubik" w:hAnsi="Rubik" w:cs="Rubik"/>
          <w:sz w:val="22"/>
          <w:szCs w:val="22"/>
        </w:rPr>
        <w:t xml:space="preserve"> </w:t>
      </w:r>
      <w:r w:rsidRPr="0045280A">
        <w:rPr>
          <w:rStyle w:val="A3"/>
          <w:rFonts w:ascii="Rubik" w:hAnsi="Rubik" w:cs="Rubik"/>
          <w:i/>
          <w:iCs/>
          <w:sz w:val="22"/>
          <w:szCs w:val="22"/>
        </w:rPr>
        <w:t>“da sempre sensibile sul tema della legalità e del contrasto alla criminalità organizzata, sia nelle attività rivolte ai propri studenti, sia per quanto riguarda le scuole superiori e la cittadinanza tutta”</w:t>
      </w:r>
      <w:r w:rsidRPr="0045280A">
        <w:rPr>
          <w:rStyle w:val="A3"/>
          <w:rFonts w:ascii="Rubik" w:hAnsi="Rubik" w:cs="Rubik"/>
          <w:sz w:val="22"/>
          <w:szCs w:val="22"/>
        </w:rPr>
        <w:t xml:space="preserve"> </w:t>
      </w:r>
      <w:r w:rsidRPr="0045280A">
        <w:rPr>
          <w:rStyle w:val="A3"/>
          <w:rFonts w:ascii="Rubik" w:hAnsi="Rubik" w:cs="Rubik"/>
          <w:b w:val="0"/>
          <w:bCs w:val="0"/>
          <w:sz w:val="22"/>
          <w:szCs w:val="22"/>
        </w:rPr>
        <w:t>– aggiunge il</w:t>
      </w:r>
      <w:r w:rsidRPr="0045280A">
        <w:rPr>
          <w:rStyle w:val="A3"/>
          <w:rFonts w:ascii="Rubik" w:hAnsi="Rubik" w:cs="Rubik"/>
          <w:sz w:val="22"/>
          <w:szCs w:val="22"/>
        </w:rPr>
        <w:t xml:space="preserve"> Direttore, prof</w:t>
      </w:r>
      <w:r>
        <w:rPr>
          <w:rStyle w:val="A3"/>
          <w:rFonts w:ascii="Rubik" w:hAnsi="Rubik" w:cs="Rubik"/>
          <w:sz w:val="22"/>
          <w:szCs w:val="22"/>
        </w:rPr>
        <w:t>.</w:t>
      </w:r>
      <w:r w:rsidRPr="0045280A">
        <w:rPr>
          <w:rStyle w:val="A3"/>
          <w:rFonts w:ascii="Rubik" w:hAnsi="Rubik" w:cs="Rubik"/>
          <w:sz w:val="22"/>
          <w:szCs w:val="22"/>
        </w:rPr>
        <w:t xml:space="preserve"> Corrado Del Bò </w:t>
      </w:r>
      <w:r w:rsidRPr="0045280A">
        <w:rPr>
          <w:rStyle w:val="A3"/>
          <w:rFonts w:ascii="Rubik" w:hAnsi="Rubik" w:cs="Rubik"/>
          <w:b w:val="0"/>
          <w:bCs w:val="0"/>
          <w:sz w:val="22"/>
          <w:szCs w:val="22"/>
        </w:rPr>
        <w:t xml:space="preserve">– </w:t>
      </w:r>
      <w:r w:rsidRPr="0045280A">
        <w:rPr>
          <w:rStyle w:val="A3"/>
          <w:rFonts w:ascii="Rubik" w:hAnsi="Rubik" w:cs="Rubik"/>
          <w:b w:val="0"/>
          <w:bCs w:val="0"/>
          <w:i/>
          <w:iCs/>
          <w:sz w:val="22"/>
          <w:szCs w:val="22"/>
        </w:rPr>
        <w:t>“Sono previste</w:t>
      </w:r>
      <w:r w:rsidRPr="0045280A">
        <w:rPr>
          <w:rStyle w:val="A3"/>
          <w:rFonts w:ascii="Rubik" w:hAnsi="Rubik" w:cs="Rubik"/>
          <w:i/>
          <w:iCs/>
          <w:sz w:val="22"/>
          <w:szCs w:val="22"/>
        </w:rPr>
        <w:t xml:space="preserve"> </w:t>
      </w:r>
      <w:r w:rsidRPr="0045280A">
        <w:rPr>
          <w:rFonts w:ascii="Rubik" w:hAnsi="Rubik" w:cs="Rubik"/>
          <w:i/>
          <w:iCs/>
          <w:sz w:val="22"/>
          <w:szCs w:val="22"/>
        </w:rPr>
        <w:t>attività che vanno da incontri, laboratori e seminari formativi, a workshop, scambi di studenti e visite presso le istituzioni che si occupano di antimafia e promozione alla legalità e ancora proiezioni video, premi per tesi di laurea, pubblicazioni”.</w:t>
      </w:r>
      <w:r w:rsidRPr="0045280A">
        <w:rPr>
          <w:rFonts w:ascii="Rubik" w:hAnsi="Rubik" w:cs="Rubik"/>
          <w:sz w:val="22"/>
          <w:szCs w:val="22"/>
        </w:rPr>
        <w:t xml:space="preserve"> </w:t>
      </w:r>
    </w:p>
    <w:p w14:paraId="5F063FB0" w14:textId="77777777" w:rsidR="0045280A" w:rsidRDefault="0045280A" w:rsidP="0045280A">
      <w:pPr>
        <w:jc w:val="both"/>
        <w:rPr>
          <w:rFonts w:ascii="Rubik" w:hAnsi="Rubik" w:cs="Rubik"/>
          <w:sz w:val="22"/>
          <w:szCs w:val="22"/>
        </w:rPr>
      </w:pPr>
    </w:p>
    <w:p w14:paraId="3ADCA910" w14:textId="10AA76BD" w:rsidR="0045280A" w:rsidRDefault="0045280A" w:rsidP="0045280A">
      <w:pPr>
        <w:jc w:val="both"/>
        <w:rPr>
          <w:rFonts w:ascii="Rubik" w:hAnsi="Rubik" w:cs="Rubik"/>
          <w:sz w:val="22"/>
          <w:szCs w:val="22"/>
        </w:rPr>
      </w:pPr>
      <w:r w:rsidRPr="0045280A">
        <w:rPr>
          <w:rFonts w:ascii="Rubik" w:hAnsi="Rubik" w:cs="Rubik"/>
          <w:sz w:val="22"/>
          <w:szCs w:val="22"/>
        </w:rPr>
        <w:t xml:space="preserve">Come attestano i recenti fatti di cronaca, la Lombardia manifesta purtroppo chiari segnali di una inesorabile emersione di fenomeni di infiltrazione mafiosa che rendono necessaria una diffusione e sensibilizzazione a ogni livello, anche per contrastare la narrazione spesso mitizzata di criminali efferati, resi protagonisti in alcune serie televisive di successo. Con una serie di azioni concrete, il contrasto alle mafie sarà dunque perseguito attraverso la (ri)scoperta delle storie di donne e uomini uccisi per il loro opporsi alla violenza e alla cultura criminosa, così da costruire una memoria consapevole che ne marchi il disvalore. </w:t>
      </w:r>
    </w:p>
    <w:p w14:paraId="7699E03D" w14:textId="77777777" w:rsidR="0045280A" w:rsidRPr="0045280A" w:rsidRDefault="0045280A" w:rsidP="0045280A">
      <w:pPr>
        <w:jc w:val="both"/>
        <w:rPr>
          <w:rFonts w:ascii="Rubik" w:hAnsi="Rubik" w:cs="Rubik"/>
          <w:sz w:val="22"/>
          <w:szCs w:val="22"/>
        </w:rPr>
      </w:pPr>
    </w:p>
    <w:p w14:paraId="3E4EA793" w14:textId="4B109A7F" w:rsidR="0045280A" w:rsidRDefault="0045280A" w:rsidP="0045280A">
      <w:pPr>
        <w:jc w:val="both"/>
        <w:rPr>
          <w:rFonts w:ascii="Rubik" w:hAnsi="Rubik" w:cs="Rubik"/>
          <w:sz w:val="22"/>
          <w:szCs w:val="22"/>
        </w:rPr>
      </w:pPr>
      <w:r w:rsidRPr="0045280A">
        <w:rPr>
          <w:rFonts w:ascii="Rubik" w:hAnsi="Rubik" w:cs="Rubik"/>
          <w:bCs/>
          <w:sz w:val="22"/>
          <w:szCs w:val="22"/>
        </w:rPr>
        <w:t xml:space="preserve">Come ricordano i referenti del progetto, </w:t>
      </w:r>
      <w:r w:rsidRPr="0045280A">
        <w:rPr>
          <w:rFonts w:ascii="Rubik" w:hAnsi="Rubik" w:cs="Rubik"/>
          <w:b/>
          <w:sz w:val="22"/>
          <w:szCs w:val="22"/>
        </w:rPr>
        <w:t>Anna Lorenzetti</w:t>
      </w:r>
      <w:r w:rsidRPr="0045280A">
        <w:rPr>
          <w:rFonts w:ascii="Rubik" w:hAnsi="Rubik" w:cs="Rubik"/>
          <w:bCs/>
          <w:sz w:val="22"/>
          <w:szCs w:val="22"/>
        </w:rPr>
        <w:t xml:space="preserve"> e </w:t>
      </w:r>
      <w:r w:rsidRPr="0045280A">
        <w:rPr>
          <w:rFonts w:ascii="Rubik" w:hAnsi="Rubik" w:cs="Rubik"/>
          <w:b/>
          <w:sz w:val="22"/>
          <w:szCs w:val="22"/>
        </w:rPr>
        <w:t>Andrea Patanè</w:t>
      </w:r>
      <w:r w:rsidRPr="0045280A">
        <w:rPr>
          <w:rFonts w:ascii="Rubik" w:hAnsi="Rubik" w:cs="Rubik"/>
          <w:bCs/>
          <w:sz w:val="22"/>
          <w:szCs w:val="22"/>
        </w:rPr>
        <w:t>,</w:t>
      </w:r>
      <w:r w:rsidR="00945945">
        <w:rPr>
          <w:rFonts w:ascii="Rubik" w:hAnsi="Rubik" w:cs="Rubik"/>
          <w:bCs/>
          <w:sz w:val="22"/>
          <w:szCs w:val="22"/>
        </w:rPr>
        <w:t xml:space="preserve"> </w:t>
      </w:r>
      <w:r w:rsidR="00945945" w:rsidRPr="00945945">
        <w:rPr>
          <w:rFonts w:ascii="Rubik" w:hAnsi="Rubik" w:cs="Rubik"/>
          <w:b/>
          <w:sz w:val="22"/>
          <w:szCs w:val="22"/>
        </w:rPr>
        <w:t>professoressa</w:t>
      </w:r>
      <w:r w:rsidRPr="0045280A">
        <w:rPr>
          <w:rFonts w:ascii="Rubik" w:hAnsi="Rubik" w:cs="Rubik"/>
          <w:bCs/>
          <w:sz w:val="22"/>
          <w:szCs w:val="22"/>
        </w:rPr>
        <w:t xml:space="preserve"> </w:t>
      </w:r>
      <w:r w:rsidRPr="0045280A">
        <w:rPr>
          <w:rFonts w:ascii="Rubik" w:hAnsi="Rubik" w:cs="Rubik"/>
          <w:b/>
          <w:sz w:val="22"/>
          <w:szCs w:val="22"/>
        </w:rPr>
        <w:t>associata e ricercatore di Diritto costituzionale</w:t>
      </w:r>
      <w:r w:rsidRPr="0045280A">
        <w:rPr>
          <w:rFonts w:ascii="Rubik" w:hAnsi="Rubik" w:cs="Rubik"/>
          <w:bCs/>
          <w:sz w:val="22"/>
          <w:szCs w:val="22"/>
        </w:rPr>
        <w:t xml:space="preserve">, il progetto si orienta in una pluralità di direzioni che vedono attiva da anni l’Università, ossia la criminalità organizzata nel settore </w:t>
      </w:r>
      <w:r w:rsidRPr="0045280A">
        <w:rPr>
          <w:rFonts w:ascii="Rubik" w:hAnsi="Rubik" w:cs="Rubik"/>
          <w:bCs/>
          <w:sz w:val="22"/>
          <w:szCs w:val="22"/>
        </w:rPr>
        <w:lastRenderedPageBreak/>
        <w:t xml:space="preserve">ambientale, il difficile dialogo con la giustizia riparativa e la prospettiva di genere per il ruolo peculiare delle donne in tali vicende. </w:t>
      </w:r>
      <w:r w:rsidRPr="0045280A">
        <w:rPr>
          <w:rFonts w:ascii="Rubik" w:hAnsi="Rubik" w:cs="Rubik"/>
          <w:sz w:val="22"/>
          <w:szCs w:val="22"/>
        </w:rPr>
        <w:t xml:space="preserve">Il progetto non si arresta alle attività di commemorazione e ricordo, ma punta a utilizzare la riflessione che il trentennale delle </w:t>
      </w:r>
      <w:r w:rsidRPr="0045280A">
        <w:rPr>
          <w:rFonts w:ascii="Rubik" w:hAnsi="Rubik" w:cs="Rubik"/>
          <w:b/>
          <w:bCs/>
          <w:sz w:val="22"/>
          <w:szCs w:val="22"/>
        </w:rPr>
        <w:t>stragi di Capaci e via D’Amelio</w:t>
      </w:r>
      <w:r w:rsidRPr="0045280A">
        <w:rPr>
          <w:rFonts w:ascii="Rubik" w:hAnsi="Rubik" w:cs="Rubik"/>
          <w:sz w:val="22"/>
          <w:szCs w:val="22"/>
        </w:rPr>
        <w:t xml:space="preserve"> consente, così da attivare un circolo virtuoso fra memoria e riparazione. </w:t>
      </w:r>
    </w:p>
    <w:p w14:paraId="10E60131" w14:textId="77777777" w:rsidR="0045280A" w:rsidRPr="0045280A" w:rsidRDefault="0045280A" w:rsidP="0045280A">
      <w:pPr>
        <w:jc w:val="both"/>
        <w:rPr>
          <w:rFonts w:ascii="Rubik" w:hAnsi="Rubik" w:cs="Rubik"/>
          <w:sz w:val="22"/>
          <w:szCs w:val="22"/>
        </w:rPr>
      </w:pPr>
    </w:p>
    <w:p w14:paraId="0B1B23AF" w14:textId="6D0D7DB5" w:rsidR="009E5CC6" w:rsidRDefault="0045280A" w:rsidP="0045280A">
      <w:pPr>
        <w:jc w:val="both"/>
        <w:rPr>
          <w:rFonts w:ascii="Rubik" w:hAnsi="Rubik" w:cs="Rubik"/>
          <w:sz w:val="22"/>
          <w:szCs w:val="22"/>
        </w:rPr>
      </w:pPr>
      <w:r w:rsidRPr="0045280A">
        <w:rPr>
          <w:rFonts w:ascii="Rubik" w:hAnsi="Rubik" w:cs="Rubik"/>
          <w:b/>
          <w:bCs/>
          <w:sz w:val="22"/>
          <w:szCs w:val="22"/>
        </w:rPr>
        <w:t>Nei prossimi 18 mesi</w:t>
      </w:r>
      <w:r w:rsidRPr="0045280A">
        <w:rPr>
          <w:rFonts w:ascii="Rubik" w:hAnsi="Rubik" w:cs="Rubik"/>
          <w:sz w:val="22"/>
          <w:szCs w:val="22"/>
        </w:rPr>
        <w:t>, Bergamo sarà dunque protagonista di un percorso condiviso con gli enti pubblici e privati del territorio che si occupano di contrasto alle mafie, per rendersi attore di primo piano su un tema di straordinaria importanza e attualità, rinsaldando così la rete territoriale che è attiva sul tema da anni.</w:t>
      </w:r>
    </w:p>
    <w:p w14:paraId="399C6956" w14:textId="4081E754" w:rsidR="00D55DCB" w:rsidRDefault="00D55DCB" w:rsidP="0045280A">
      <w:pPr>
        <w:jc w:val="both"/>
        <w:rPr>
          <w:rFonts w:ascii="Rubik" w:hAnsi="Rubik" w:cs="Rubik"/>
          <w:sz w:val="22"/>
          <w:szCs w:val="22"/>
        </w:rPr>
      </w:pPr>
    </w:p>
    <w:sectPr w:rsidR="00D55DCB">
      <w:headerReference w:type="even" r:id="rId7"/>
      <w:headerReference w:type="default" r:id="rId8"/>
      <w:footerReference w:type="default" r:id="rId9"/>
      <w:headerReference w:type="first" r:id="rId10"/>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44FC1" w14:textId="77777777" w:rsidR="00206187" w:rsidRDefault="00206187">
      <w:r>
        <w:separator/>
      </w:r>
    </w:p>
  </w:endnote>
  <w:endnote w:type="continuationSeparator" w:id="0">
    <w:p w14:paraId="301F430A" w14:textId="77777777" w:rsidR="00206187" w:rsidRDefault="0020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Rubik">
    <w:panose1 w:val="00000000000000000000"/>
    <w:charset w:val="00"/>
    <w:family w:val="auto"/>
    <w:pitch w:val="variable"/>
    <w:sig w:usb0="A0000A6F" w:usb1="4000205B" w:usb2="00000000" w:usb3="00000000" w:csb0="000000B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TC Avant Garde Std Bk">
    <w:altName w:val="ITC Avant Garde Std Bk"/>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F54E"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B5BA3FA"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15AE8437"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269BD70E" w14:textId="7E2D981B" w:rsidR="004D6853"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348 5100463 </w:t>
    </w:r>
  </w:p>
  <w:p w14:paraId="3631467C" w14:textId="77777777" w:rsidR="00A93B79" w:rsidRPr="00A93B79" w:rsidRDefault="00A93B79">
    <w:pPr>
      <w:pBdr>
        <w:top w:val="nil"/>
        <w:left w:val="nil"/>
        <w:bottom w:val="nil"/>
        <w:right w:val="nil"/>
        <w:between w:val="nil"/>
      </w:pBdr>
      <w:tabs>
        <w:tab w:val="center" w:pos="4819"/>
        <w:tab w:val="right" w:pos="9638"/>
      </w:tabs>
      <w:rPr>
        <w:rFonts w:ascii="Rubik" w:eastAsia="Rubik" w:hAnsi="Rubik" w:cs="Rubik"/>
        <w:color w:val="0D0D0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51712" w14:textId="77777777" w:rsidR="00206187" w:rsidRDefault="00206187">
      <w:r>
        <w:separator/>
      </w:r>
    </w:p>
  </w:footnote>
  <w:footnote w:type="continuationSeparator" w:id="0">
    <w:p w14:paraId="200495B1" w14:textId="77777777" w:rsidR="00206187" w:rsidRDefault="0020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5467F"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212A10A6" wp14:editId="65CD62CE">
          <wp:simplePos x="0" y="0"/>
          <wp:positionH relativeFrom="margin">
            <wp:align>center</wp:align>
          </wp:positionH>
          <wp:positionV relativeFrom="margin">
            <wp:align>center</wp:align>
          </wp:positionV>
          <wp:extent cx="7562215" cy="1676400"/>
          <wp:effectExtent l="0" t="0" r="0" b="0"/>
          <wp:wrapNone/>
          <wp:docPr id="2"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206187">
      <w:rPr>
        <w:rFonts w:ascii="Calibri" w:eastAsia="Calibri" w:hAnsi="Calibri" w:cs="Calibri"/>
        <w:color w:val="000000"/>
      </w:rPr>
      <w:pict w14:anchorId="13546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Header_DirettoreGenerale_Tavola disegno 1"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B2A7E" w14:textId="61DA13A1"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12100691" w14:textId="6AECF10A"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13638DE2" w14:textId="77777777"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4EA88F04" w14:textId="77777777"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5484CB12" w14:textId="63BD2EA9" w:rsidR="004D6853" w:rsidRDefault="004D6853">
    <w:pPr>
      <w:pBdr>
        <w:top w:val="nil"/>
        <w:left w:val="nil"/>
        <w:bottom w:val="nil"/>
        <w:right w:val="nil"/>
        <w:between w:val="nil"/>
      </w:pBdr>
      <w:tabs>
        <w:tab w:val="center" w:pos="4819"/>
        <w:tab w:val="right" w:pos="9638"/>
      </w:tabs>
      <w:rPr>
        <w:rFonts w:ascii="Calibri" w:eastAsia="Calibri" w:hAnsi="Calibri" w:cs="Calibri"/>
        <w:color w:val="000000"/>
      </w:rPr>
    </w:pPr>
  </w:p>
  <w:p w14:paraId="38895275" w14:textId="37E2A3A5" w:rsidR="009201F5" w:rsidRDefault="00206187">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3C1C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Header_generico_Tavola disegno 1" style="position:absolute;margin-left:-71.05pt;margin-top:-128.75pt;width:196.45pt;height:132pt;z-index:-251658752;mso-wrap-edited:f;mso-width-percent:0;mso-height-percent:0;mso-position-horizontal:absolute;mso-position-horizontal-relative:margin;mso-position-vertical:absolute;mso-position-vertical-relative:margin;mso-width-percent:0;mso-height-percent:0">
          <v:imagedata r:id="rId1" o:title="image2" cropright="43914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8093"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5E86CF60" wp14:editId="74CE84C4">
          <wp:simplePos x="0" y="0"/>
          <wp:positionH relativeFrom="margin">
            <wp:align>center</wp:align>
          </wp:positionH>
          <wp:positionV relativeFrom="margin">
            <wp:align>center</wp:align>
          </wp:positionV>
          <wp:extent cx="7562215" cy="1676400"/>
          <wp:effectExtent l="0" t="0" r="0" b="0"/>
          <wp:wrapNone/>
          <wp:docPr id="1"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206187">
      <w:rPr>
        <w:rFonts w:ascii="Calibri" w:eastAsia="Calibri" w:hAnsi="Calibri" w:cs="Calibri"/>
        <w:color w:val="000000"/>
      </w:rPr>
      <w:pict w14:anchorId="31C84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eader_DirettoreGenerale_Tavola disegno 1"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3888"/>
    <w:multiLevelType w:val="hybridMultilevel"/>
    <w:tmpl w:val="1562A680"/>
    <w:lvl w:ilvl="0" w:tplc="313E82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6551EA"/>
    <w:multiLevelType w:val="hybridMultilevel"/>
    <w:tmpl w:val="9C6EC516"/>
    <w:lvl w:ilvl="0" w:tplc="1A1C231E">
      <w:start w:val="348"/>
      <w:numFmt w:val="bullet"/>
      <w:lvlText w:val="-"/>
      <w:lvlJc w:val="left"/>
      <w:pPr>
        <w:ind w:left="720" w:hanging="360"/>
      </w:pPr>
      <w:rPr>
        <w:rFonts w:ascii="Rubik" w:eastAsia="Times New Roman"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4482D92"/>
    <w:multiLevelType w:val="multilevel"/>
    <w:tmpl w:val="D3FC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F5"/>
    <w:rsid w:val="0000091A"/>
    <w:rsid w:val="00022D5A"/>
    <w:rsid w:val="000268F9"/>
    <w:rsid w:val="00026B5E"/>
    <w:rsid w:val="0003027D"/>
    <w:rsid w:val="00042BBE"/>
    <w:rsid w:val="00077352"/>
    <w:rsid w:val="0008336E"/>
    <w:rsid w:val="000C16B3"/>
    <w:rsid w:val="000E4974"/>
    <w:rsid w:val="000E4E07"/>
    <w:rsid w:val="00102A2B"/>
    <w:rsid w:val="00112EB1"/>
    <w:rsid w:val="00115670"/>
    <w:rsid w:val="00124505"/>
    <w:rsid w:val="00173084"/>
    <w:rsid w:val="00174986"/>
    <w:rsid w:val="00185B06"/>
    <w:rsid w:val="00194254"/>
    <w:rsid w:val="00194D3C"/>
    <w:rsid w:val="001A5ECD"/>
    <w:rsid w:val="001C63A4"/>
    <w:rsid w:val="001D060A"/>
    <w:rsid w:val="001F3054"/>
    <w:rsid w:val="00206187"/>
    <w:rsid w:val="00210A87"/>
    <w:rsid w:val="00214B01"/>
    <w:rsid w:val="00223E2B"/>
    <w:rsid w:val="002545E3"/>
    <w:rsid w:val="00260049"/>
    <w:rsid w:val="00277077"/>
    <w:rsid w:val="002A206C"/>
    <w:rsid w:val="002B0EE6"/>
    <w:rsid w:val="002B7BE3"/>
    <w:rsid w:val="002D76D9"/>
    <w:rsid w:val="002E1381"/>
    <w:rsid w:val="003007BE"/>
    <w:rsid w:val="00300C8A"/>
    <w:rsid w:val="003015CF"/>
    <w:rsid w:val="00303DED"/>
    <w:rsid w:val="0031442F"/>
    <w:rsid w:val="00322702"/>
    <w:rsid w:val="0034369E"/>
    <w:rsid w:val="00365F9B"/>
    <w:rsid w:val="00371F81"/>
    <w:rsid w:val="00390BBF"/>
    <w:rsid w:val="003A651C"/>
    <w:rsid w:val="003B3778"/>
    <w:rsid w:val="003B541F"/>
    <w:rsid w:val="003C1A04"/>
    <w:rsid w:val="003C2678"/>
    <w:rsid w:val="003E33F9"/>
    <w:rsid w:val="004077AE"/>
    <w:rsid w:val="00414F7A"/>
    <w:rsid w:val="004221AC"/>
    <w:rsid w:val="0045280A"/>
    <w:rsid w:val="00467F5D"/>
    <w:rsid w:val="00477488"/>
    <w:rsid w:val="004A1258"/>
    <w:rsid w:val="004A6EB2"/>
    <w:rsid w:val="004B0492"/>
    <w:rsid w:val="004D1BBA"/>
    <w:rsid w:val="004D6853"/>
    <w:rsid w:val="004E42E1"/>
    <w:rsid w:val="004F269E"/>
    <w:rsid w:val="004F609C"/>
    <w:rsid w:val="005009A0"/>
    <w:rsid w:val="00521A07"/>
    <w:rsid w:val="0054467D"/>
    <w:rsid w:val="00561817"/>
    <w:rsid w:val="005646C5"/>
    <w:rsid w:val="00583DF8"/>
    <w:rsid w:val="005A2440"/>
    <w:rsid w:val="005A3A94"/>
    <w:rsid w:val="005D2569"/>
    <w:rsid w:val="005F466D"/>
    <w:rsid w:val="00604BEC"/>
    <w:rsid w:val="00606287"/>
    <w:rsid w:val="00610A82"/>
    <w:rsid w:val="00613FF1"/>
    <w:rsid w:val="00614C58"/>
    <w:rsid w:val="00684FCE"/>
    <w:rsid w:val="006A4596"/>
    <w:rsid w:val="006B21F1"/>
    <w:rsid w:val="006C468B"/>
    <w:rsid w:val="006C4B91"/>
    <w:rsid w:val="006E277D"/>
    <w:rsid w:val="006E558F"/>
    <w:rsid w:val="0070315F"/>
    <w:rsid w:val="0077620C"/>
    <w:rsid w:val="007A5045"/>
    <w:rsid w:val="007C3619"/>
    <w:rsid w:val="007E36E5"/>
    <w:rsid w:val="00800CBF"/>
    <w:rsid w:val="00846056"/>
    <w:rsid w:val="00850BFB"/>
    <w:rsid w:val="00851E32"/>
    <w:rsid w:val="00866205"/>
    <w:rsid w:val="00881D01"/>
    <w:rsid w:val="00894B08"/>
    <w:rsid w:val="008A15CA"/>
    <w:rsid w:val="008A2321"/>
    <w:rsid w:val="008D6A1B"/>
    <w:rsid w:val="008F0C1C"/>
    <w:rsid w:val="008F3C66"/>
    <w:rsid w:val="009201F5"/>
    <w:rsid w:val="009310FD"/>
    <w:rsid w:val="00945945"/>
    <w:rsid w:val="0096570D"/>
    <w:rsid w:val="00972C23"/>
    <w:rsid w:val="009828A3"/>
    <w:rsid w:val="0098791D"/>
    <w:rsid w:val="009965E2"/>
    <w:rsid w:val="009B3BDF"/>
    <w:rsid w:val="009C05F0"/>
    <w:rsid w:val="009E5CC6"/>
    <w:rsid w:val="00A006FC"/>
    <w:rsid w:val="00A17E25"/>
    <w:rsid w:val="00A670CA"/>
    <w:rsid w:val="00A93B79"/>
    <w:rsid w:val="00AB1E0A"/>
    <w:rsid w:val="00AC32D8"/>
    <w:rsid w:val="00AD09F9"/>
    <w:rsid w:val="00AD598A"/>
    <w:rsid w:val="00B04556"/>
    <w:rsid w:val="00B072B1"/>
    <w:rsid w:val="00B12175"/>
    <w:rsid w:val="00B32D8E"/>
    <w:rsid w:val="00B33884"/>
    <w:rsid w:val="00B37397"/>
    <w:rsid w:val="00B422E5"/>
    <w:rsid w:val="00B42429"/>
    <w:rsid w:val="00B430DF"/>
    <w:rsid w:val="00B459DB"/>
    <w:rsid w:val="00B459FE"/>
    <w:rsid w:val="00B60CA7"/>
    <w:rsid w:val="00B6424F"/>
    <w:rsid w:val="00B76D9A"/>
    <w:rsid w:val="00BA3EF4"/>
    <w:rsid w:val="00BB60D2"/>
    <w:rsid w:val="00BB6D13"/>
    <w:rsid w:val="00BB75B9"/>
    <w:rsid w:val="00BF1C6E"/>
    <w:rsid w:val="00C17AB6"/>
    <w:rsid w:val="00C23906"/>
    <w:rsid w:val="00C27830"/>
    <w:rsid w:val="00C61D08"/>
    <w:rsid w:val="00CF038D"/>
    <w:rsid w:val="00D134C4"/>
    <w:rsid w:val="00D430B2"/>
    <w:rsid w:val="00D55DCB"/>
    <w:rsid w:val="00D93627"/>
    <w:rsid w:val="00DA4D90"/>
    <w:rsid w:val="00DC31FC"/>
    <w:rsid w:val="00DC4DF0"/>
    <w:rsid w:val="00DC7913"/>
    <w:rsid w:val="00DE4FB0"/>
    <w:rsid w:val="00E02E57"/>
    <w:rsid w:val="00E107AE"/>
    <w:rsid w:val="00E2329A"/>
    <w:rsid w:val="00E5661A"/>
    <w:rsid w:val="00E624AC"/>
    <w:rsid w:val="00E9432E"/>
    <w:rsid w:val="00ED3BA1"/>
    <w:rsid w:val="00ED61C3"/>
    <w:rsid w:val="00EE5153"/>
    <w:rsid w:val="00F01244"/>
    <w:rsid w:val="00F24283"/>
    <w:rsid w:val="00F25F58"/>
    <w:rsid w:val="00F34EE2"/>
    <w:rsid w:val="00F43ECA"/>
    <w:rsid w:val="00F46855"/>
    <w:rsid w:val="00F54E61"/>
    <w:rsid w:val="00F578D0"/>
    <w:rsid w:val="00F70A6A"/>
    <w:rsid w:val="00FD1136"/>
    <w:rsid w:val="00FF2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02F4D4"/>
  <w15:docId w15:val="{BF978431-87DB-9242-9A6A-9C2CDDB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3627"/>
  </w:style>
  <w:style w:type="paragraph" w:styleId="Titolo1">
    <w:name w:val="heading 1"/>
    <w:basedOn w:val="Normale"/>
    <w:next w:val="Normale"/>
    <w:uiPriority w:val="9"/>
    <w:qFormat/>
    <w:pPr>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D93627"/>
    <w:rPr>
      <w:color w:val="0000FF" w:themeColor="hyperlink"/>
      <w:u w:val="single"/>
    </w:rPr>
  </w:style>
  <w:style w:type="character" w:styleId="Menzionenonrisolta">
    <w:name w:val="Unresolved Mention"/>
    <w:basedOn w:val="Carpredefinitoparagrafo"/>
    <w:uiPriority w:val="99"/>
    <w:semiHidden/>
    <w:unhideWhenUsed/>
    <w:rsid w:val="00D93627"/>
    <w:rPr>
      <w:color w:val="605E5C"/>
      <w:shd w:val="clear" w:color="auto" w:fill="E1DFDD"/>
    </w:rPr>
  </w:style>
  <w:style w:type="paragraph" w:styleId="Pidipagina">
    <w:name w:val="footer"/>
    <w:basedOn w:val="Normale"/>
    <w:link w:val="PidipaginaCarattere"/>
    <w:uiPriority w:val="99"/>
    <w:unhideWhenUsed/>
    <w:rsid w:val="00B072B1"/>
    <w:pPr>
      <w:tabs>
        <w:tab w:val="center" w:pos="4819"/>
        <w:tab w:val="right" w:pos="9638"/>
      </w:tabs>
    </w:pPr>
  </w:style>
  <w:style w:type="character" w:customStyle="1" w:styleId="PidipaginaCarattere">
    <w:name w:val="Piè di pagina Carattere"/>
    <w:basedOn w:val="Carpredefinitoparagrafo"/>
    <w:link w:val="Pidipagina"/>
    <w:uiPriority w:val="99"/>
    <w:rsid w:val="00B072B1"/>
  </w:style>
  <w:style w:type="paragraph" w:styleId="Paragrafoelenco">
    <w:name w:val="List Paragraph"/>
    <w:basedOn w:val="Normale"/>
    <w:uiPriority w:val="34"/>
    <w:qFormat/>
    <w:rsid w:val="00B430DF"/>
    <w:pPr>
      <w:ind w:left="720"/>
      <w:contextualSpacing/>
    </w:pPr>
    <w:rPr>
      <w:rFonts w:asciiTheme="minorHAnsi" w:eastAsiaTheme="minorHAnsi" w:hAnsiTheme="minorHAnsi" w:cstheme="minorBidi"/>
      <w:lang w:eastAsia="en-US"/>
    </w:rPr>
  </w:style>
  <w:style w:type="character" w:styleId="Enfasigrassetto">
    <w:name w:val="Strong"/>
    <w:basedOn w:val="Carpredefinitoparagrafo"/>
    <w:uiPriority w:val="22"/>
    <w:qFormat/>
    <w:rsid w:val="00C23906"/>
    <w:rPr>
      <w:b/>
      <w:bCs/>
    </w:rPr>
  </w:style>
  <w:style w:type="character" w:styleId="Enfasicorsivo">
    <w:name w:val="Emphasis"/>
    <w:basedOn w:val="Carpredefinitoparagrafo"/>
    <w:uiPriority w:val="20"/>
    <w:qFormat/>
    <w:rsid w:val="00C23906"/>
    <w:rPr>
      <w:i/>
      <w:iCs/>
    </w:rPr>
  </w:style>
  <w:style w:type="paragraph" w:styleId="Revisione">
    <w:name w:val="Revision"/>
    <w:hidden/>
    <w:uiPriority w:val="99"/>
    <w:semiHidden/>
    <w:rsid w:val="008D6A1B"/>
  </w:style>
  <w:style w:type="paragraph" w:customStyle="1" w:styleId="Standard">
    <w:name w:val="Standard"/>
    <w:rsid w:val="00DE4FB0"/>
    <w:pPr>
      <w:suppressAutoHyphens/>
      <w:autoSpaceDN w:val="0"/>
      <w:textAlignment w:val="baseline"/>
    </w:pPr>
    <w:rPr>
      <w:kern w:val="3"/>
    </w:rPr>
  </w:style>
  <w:style w:type="character" w:customStyle="1" w:styleId="il">
    <w:name w:val="il"/>
    <w:basedOn w:val="Carpredefinitoparagrafo"/>
    <w:rsid w:val="00E5661A"/>
  </w:style>
  <w:style w:type="paragraph" w:styleId="Nessunaspaziatura">
    <w:name w:val="No Spacing"/>
    <w:uiPriority w:val="1"/>
    <w:qFormat/>
    <w:rsid w:val="0045280A"/>
    <w:rPr>
      <w:rFonts w:ascii="Arial" w:hAnsi="Arial"/>
      <w:sz w:val="20"/>
    </w:rPr>
  </w:style>
  <w:style w:type="paragraph" w:customStyle="1" w:styleId="Default">
    <w:name w:val="Default"/>
    <w:rsid w:val="0045280A"/>
    <w:pPr>
      <w:autoSpaceDE w:val="0"/>
      <w:autoSpaceDN w:val="0"/>
      <w:adjustRightInd w:val="0"/>
    </w:pPr>
    <w:rPr>
      <w:rFonts w:ascii="ITC Avant Garde Std Bk" w:eastAsiaTheme="minorHAnsi" w:hAnsi="ITC Avant Garde Std Bk" w:cs="ITC Avant Garde Std Bk"/>
      <w:color w:val="000000"/>
      <w:lang w:eastAsia="en-US"/>
    </w:rPr>
  </w:style>
  <w:style w:type="character" w:customStyle="1" w:styleId="A3">
    <w:name w:val="A3"/>
    <w:uiPriority w:val="99"/>
    <w:rsid w:val="0045280A"/>
    <w:rPr>
      <w:rFonts w:cs="ITC Avant Garde Std Bk"/>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7134">
      <w:bodyDiv w:val="1"/>
      <w:marLeft w:val="0"/>
      <w:marRight w:val="0"/>
      <w:marTop w:val="0"/>
      <w:marBottom w:val="0"/>
      <w:divBdr>
        <w:top w:val="none" w:sz="0" w:space="0" w:color="auto"/>
        <w:left w:val="none" w:sz="0" w:space="0" w:color="auto"/>
        <w:bottom w:val="none" w:sz="0" w:space="0" w:color="auto"/>
        <w:right w:val="none" w:sz="0" w:space="0" w:color="auto"/>
      </w:divBdr>
    </w:div>
    <w:div w:id="457143397">
      <w:bodyDiv w:val="1"/>
      <w:marLeft w:val="0"/>
      <w:marRight w:val="0"/>
      <w:marTop w:val="0"/>
      <w:marBottom w:val="0"/>
      <w:divBdr>
        <w:top w:val="none" w:sz="0" w:space="0" w:color="auto"/>
        <w:left w:val="none" w:sz="0" w:space="0" w:color="auto"/>
        <w:bottom w:val="none" w:sz="0" w:space="0" w:color="auto"/>
        <w:right w:val="none" w:sz="0" w:space="0" w:color="auto"/>
      </w:divBdr>
    </w:div>
    <w:div w:id="822312463">
      <w:bodyDiv w:val="1"/>
      <w:marLeft w:val="0"/>
      <w:marRight w:val="0"/>
      <w:marTop w:val="0"/>
      <w:marBottom w:val="0"/>
      <w:divBdr>
        <w:top w:val="none" w:sz="0" w:space="0" w:color="auto"/>
        <w:left w:val="none" w:sz="0" w:space="0" w:color="auto"/>
        <w:bottom w:val="none" w:sz="0" w:space="0" w:color="auto"/>
        <w:right w:val="none" w:sz="0" w:space="0" w:color="auto"/>
      </w:divBdr>
    </w:div>
    <w:div w:id="970479571">
      <w:bodyDiv w:val="1"/>
      <w:marLeft w:val="0"/>
      <w:marRight w:val="0"/>
      <w:marTop w:val="0"/>
      <w:marBottom w:val="0"/>
      <w:divBdr>
        <w:top w:val="none" w:sz="0" w:space="0" w:color="auto"/>
        <w:left w:val="none" w:sz="0" w:space="0" w:color="auto"/>
        <w:bottom w:val="none" w:sz="0" w:space="0" w:color="auto"/>
        <w:right w:val="none" w:sz="0" w:space="0" w:color="auto"/>
      </w:divBdr>
    </w:div>
    <w:div w:id="1066300376">
      <w:bodyDiv w:val="1"/>
      <w:marLeft w:val="0"/>
      <w:marRight w:val="0"/>
      <w:marTop w:val="0"/>
      <w:marBottom w:val="0"/>
      <w:divBdr>
        <w:top w:val="none" w:sz="0" w:space="0" w:color="auto"/>
        <w:left w:val="none" w:sz="0" w:space="0" w:color="auto"/>
        <w:bottom w:val="none" w:sz="0" w:space="0" w:color="auto"/>
        <w:right w:val="none" w:sz="0" w:space="0" w:color="auto"/>
      </w:divBdr>
    </w:div>
    <w:div w:id="1086926829">
      <w:bodyDiv w:val="1"/>
      <w:marLeft w:val="0"/>
      <w:marRight w:val="0"/>
      <w:marTop w:val="0"/>
      <w:marBottom w:val="0"/>
      <w:divBdr>
        <w:top w:val="none" w:sz="0" w:space="0" w:color="auto"/>
        <w:left w:val="none" w:sz="0" w:space="0" w:color="auto"/>
        <w:bottom w:val="none" w:sz="0" w:space="0" w:color="auto"/>
        <w:right w:val="none" w:sz="0" w:space="0" w:color="auto"/>
      </w:divBdr>
    </w:div>
    <w:div w:id="1697080196">
      <w:bodyDiv w:val="1"/>
      <w:marLeft w:val="0"/>
      <w:marRight w:val="0"/>
      <w:marTop w:val="0"/>
      <w:marBottom w:val="0"/>
      <w:divBdr>
        <w:top w:val="none" w:sz="0" w:space="0" w:color="auto"/>
        <w:left w:val="none" w:sz="0" w:space="0" w:color="auto"/>
        <w:bottom w:val="none" w:sz="0" w:space="0" w:color="auto"/>
        <w:right w:val="none" w:sz="0" w:space="0" w:color="auto"/>
      </w:divBdr>
    </w:div>
    <w:div w:id="1737511288">
      <w:bodyDiv w:val="1"/>
      <w:marLeft w:val="0"/>
      <w:marRight w:val="0"/>
      <w:marTop w:val="0"/>
      <w:marBottom w:val="0"/>
      <w:divBdr>
        <w:top w:val="none" w:sz="0" w:space="0" w:color="auto"/>
        <w:left w:val="none" w:sz="0" w:space="0" w:color="auto"/>
        <w:bottom w:val="none" w:sz="0" w:space="0" w:color="auto"/>
        <w:right w:val="none" w:sz="0" w:space="0" w:color="auto"/>
      </w:divBdr>
    </w:div>
    <w:div w:id="2060592531">
      <w:bodyDiv w:val="1"/>
      <w:marLeft w:val="0"/>
      <w:marRight w:val="0"/>
      <w:marTop w:val="0"/>
      <w:marBottom w:val="0"/>
      <w:divBdr>
        <w:top w:val="none" w:sz="0" w:space="0" w:color="auto"/>
        <w:left w:val="none" w:sz="0" w:space="0" w:color="auto"/>
        <w:bottom w:val="none" w:sz="0" w:space="0" w:color="auto"/>
        <w:right w:val="none" w:sz="0" w:space="0" w:color="auto"/>
      </w:divBdr>
    </w:div>
    <w:div w:id="2122258510">
      <w:bodyDiv w:val="1"/>
      <w:marLeft w:val="0"/>
      <w:marRight w:val="0"/>
      <w:marTop w:val="0"/>
      <w:marBottom w:val="0"/>
      <w:divBdr>
        <w:top w:val="none" w:sz="0" w:space="0" w:color="auto"/>
        <w:left w:val="none" w:sz="0" w:space="0" w:color="auto"/>
        <w:bottom w:val="none" w:sz="0" w:space="0" w:color="auto"/>
        <w:right w:val="none" w:sz="0" w:space="0" w:color="auto"/>
      </w:divBdr>
      <w:divsChild>
        <w:div w:id="155848937">
          <w:marLeft w:val="0"/>
          <w:marRight w:val="0"/>
          <w:marTop w:val="0"/>
          <w:marBottom w:val="0"/>
          <w:divBdr>
            <w:top w:val="none" w:sz="0" w:space="0" w:color="auto"/>
            <w:left w:val="none" w:sz="0" w:space="0" w:color="auto"/>
            <w:bottom w:val="none" w:sz="0" w:space="0" w:color="auto"/>
            <w:right w:val="none" w:sz="0" w:space="0" w:color="auto"/>
          </w:divBdr>
        </w:div>
        <w:div w:id="1090002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653</Words>
  <Characters>3726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Cerea</dc:creator>
  <cp:lastModifiedBy>Martina Cerea</cp:lastModifiedBy>
  <cp:revision>12</cp:revision>
  <cp:lastPrinted>2022-05-18T14:40:00Z</cp:lastPrinted>
  <dcterms:created xsi:type="dcterms:W3CDTF">2022-09-14T10:16:00Z</dcterms:created>
  <dcterms:modified xsi:type="dcterms:W3CDTF">2022-09-15T12:59:00Z</dcterms:modified>
</cp:coreProperties>
</file>