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0FCB1717" w:rsidR="00F6219E" w:rsidRDefault="00C97A0F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081453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73B1EC9C" w14:textId="77777777" w:rsidR="00081453" w:rsidRPr="008F4EC1" w:rsidRDefault="00081453" w:rsidP="00BB69C5">
      <w:pPr>
        <w:jc w:val="center"/>
        <w:rPr>
          <w:rFonts w:ascii="Rubik" w:eastAsia="Rubik" w:hAnsi="Rubik" w:cs="Rubik"/>
          <w:sz w:val="28"/>
          <w:szCs w:val="28"/>
          <w:u w:val="single"/>
        </w:rPr>
      </w:pPr>
    </w:p>
    <w:p w14:paraId="14921F9C" w14:textId="3C3B8C27" w:rsidR="002067CD" w:rsidRDefault="002067CD" w:rsidP="008F4EC1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70 BORSE DI DOTTORAT</w:t>
      </w:r>
      <w:r w:rsidR="00A81FDF">
        <w:rPr>
          <w:rFonts w:ascii="Rubik" w:eastAsia="Rubik" w:hAnsi="Rubik" w:cs="Rubik"/>
          <w:b/>
          <w:sz w:val="28"/>
          <w:szCs w:val="28"/>
        </w:rPr>
        <w:t xml:space="preserve">I INNOVATIVI A CONNOTAZIONE INDUSTRIALE </w:t>
      </w:r>
      <w:r>
        <w:rPr>
          <w:rFonts w:ascii="Rubik" w:eastAsia="Rubik" w:hAnsi="Rubik" w:cs="Rubik"/>
          <w:b/>
          <w:sz w:val="28"/>
          <w:szCs w:val="28"/>
        </w:rPr>
        <w:t>ASSEGNATE A UNIBG DAL MUR</w:t>
      </w:r>
    </w:p>
    <w:p w14:paraId="4E6421B6" w14:textId="46AB67FA" w:rsidR="00794740" w:rsidRPr="008A2672" w:rsidRDefault="00794740" w:rsidP="00540C71">
      <w:pPr>
        <w:jc w:val="both"/>
        <w:rPr>
          <w:rFonts w:ascii="Rubik" w:hAnsi="Rubik" w:cs="Rubik"/>
          <w:i/>
          <w:iCs/>
          <w:sz w:val="22"/>
          <w:szCs w:val="22"/>
        </w:rPr>
      </w:pPr>
    </w:p>
    <w:p w14:paraId="3F73D13D" w14:textId="71B8F9E6" w:rsidR="00A81FDF" w:rsidRPr="00A81FDF" w:rsidRDefault="00C97A0F" w:rsidP="002067CD">
      <w:pPr>
        <w:jc w:val="both"/>
        <w:rPr>
          <w:rFonts w:ascii="Rubik" w:hAnsi="Rubik" w:cs="Rubik"/>
          <w:sz w:val="22"/>
          <w:szCs w:val="22"/>
        </w:rPr>
      </w:pPr>
      <w:r w:rsidRPr="008A2672">
        <w:rPr>
          <w:rFonts w:ascii="Rubik" w:hAnsi="Rubik" w:cs="Rubik"/>
          <w:i/>
          <w:iCs/>
          <w:sz w:val="22"/>
          <w:szCs w:val="22"/>
        </w:rPr>
        <w:t>Bergamo, 24 marzo 2023</w:t>
      </w:r>
      <w:r>
        <w:rPr>
          <w:rFonts w:ascii="Rubik" w:hAnsi="Rubik" w:cs="Rubik"/>
          <w:sz w:val="22"/>
          <w:szCs w:val="22"/>
        </w:rPr>
        <w:t xml:space="preserve"> – </w:t>
      </w:r>
      <w:r w:rsidR="005E5F75" w:rsidRPr="00A81FDF">
        <w:rPr>
          <w:rFonts w:ascii="Rubik" w:hAnsi="Rubik" w:cs="Rubik"/>
          <w:sz w:val="22"/>
          <w:szCs w:val="22"/>
        </w:rPr>
        <w:t xml:space="preserve">Sostenibilità ambientale, digitalizzazione, invecchiamento della popolazione, nuove tecnologie, attrattività territoriale e nuovi modelli di business e organizzativi. Sono solo alcuni dei potenziali ambiti applicativi che vedranno la collaborazione del mondo accademico e del mondo industriale grazie alle </w:t>
      </w:r>
      <w:r w:rsidR="005E5F75" w:rsidRPr="00A81FDF">
        <w:rPr>
          <w:rFonts w:ascii="Rubik" w:hAnsi="Rubik" w:cs="Rubik"/>
          <w:b/>
          <w:bCs/>
          <w:sz w:val="22"/>
          <w:szCs w:val="22"/>
        </w:rPr>
        <w:t>70 borse di dottorati innovativi a connotazione industriale</w:t>
      </w:r>
      <w:r w:rsidR="005E5F75" w:rsidRPr="00A81FDF">
        <w:rPr>
          <w:rFonts w:ascii="Rubik" w:hAnsi="Rubik" w:cs="Rubik"/>
          <w:sz w:val="22"/>
          <w:szCs w:val="22"/>
        </w:rPr>
        <w:t xml:space="preserve"> assegnate p</w:t>
      </w:r>
      <w:r w:rsidR="002067CD" w:rsidRPr="00A81FDF">
        <w:rPr>
          <w:rFonts w:ascii="Rubik" w:hAnsi="Rubik" w:cs="Rubik"/>
          <w:sz w:val="22"/>
          <w:szCs w:val="22"/>
        </w:rPr>
        <w:t>er l'Anno Accademico 2022-2023</w:t>
      </w:r>
      <w:r w:rsidR="005E5F75" w:rsidRPr="00A81FDF">
        <w:rPr>
          <w:rFonts w:ascii="Rubik" w:hAnsi="Rubik" w:cs="Rubik"/>
          <w:sz w:val="22"/>
          <w:szCs w:val="22"/>
        </w:rPr>
        <w:t xml:space="preserve"> </w:t>
      </w:r>
      <w:r w:rsidR="00605A5B">
        <w:rPr>
          <w:rFonts w:ascii="Rubik" w:hAnsi="Rubik" w:cs="Rubik"/>
          <w:sz w:val="22"/>
          <w:szCs w:val="22"/>
        </w:rPr>
        <w:t>d</w:t>
      </w:r>
      <w:r w:rsidR="005E5F75" w:rsidRPr="00A81FDF">
        <w:rPr>
          <w:rFonts w:ascii="Rubik" w:hAnsi="Rubik" w:cs="Rubik"/>
          <w:sz w:val="22"/>
          <w:szCs w:val="22"/>
        </w:rPr>
        <w:t xml:space="preserve">al </w:t>
      </w:r>
      <w:r w:rsidR="002067CD" w:rsidRPr="00A81FDF">
        <w:rPr>
          <w:rFonts w:ascii="Rubik" w:hAnsi="Rubik" w:cs="Rubik"/>
          <w:sz w:val="22"/>
          <w:szCs w:val="22"/>
        </w:rPr>
        <w:t xml:space="preserve">MUR </w:t>
      </w:r>
      <w:r w:rsidR="00A81FDF" w:rsidRPr="00A81FDF">
        <w:rPr>
          <w:rFonts w:ascii="Rubik" w:hAnsi="Rubik" w:cs="Rubik"/>
          <w:sz w:val="22"/>
          <w:szCs w:val="22"/>
        </w:rPr>
        <w:t>al</w:t>
      </w:r>
      <w:r w:rsidR="002067CD" w:rsidRPr="00A81FDF">
        <w:rPr>
          <w:rFonts w:ascii="Rubik" w:hAnsi="Rubik" w:cs="Rubik"/>
          <w:sz w:val="22"/>
          <w:szCs w:val="22"/>
        </w:rPr>
        <w:t>l'Università degli studi di Bergamo</w:t>
      </w:r>
      <w:r w:rsidR="00A81FDF" w:rsidRPr="00A81FDF">
        <w:rPr>
          <w:rFonts w:ascii="Rubik" w:hAnsi="Rubik" w:cs="Rubik"/>
          <w:sz w:val="22"/>
          <w:szCs w:val="22"/>
        </w:rPr>
        <w:t>.</w:t>
      </w:r>
      <w:r w:rsidR="002067CD" w:rsidRPr="00A81FDF">
        <w:rPr>
          <w:rFonts w:ascii="Rubik" w:hAnsi="Rubik" w:cs="Rubik"/>
          <w:sz w:val="22"/>
          <w:szCs w:val="22"/>
        </w:rPr>
        <w:t xml:space="preserve"> </w:t>
      </w:r>
    </w:p>
    <w:p w14:paraId="69FE817F" w14:textId="77777777" w:rsidR="002067CD" w:rsidRPr="00A81FDF" w:rsidRDefault="002067CD" w:rsidP="002067CD">
      <w:pPr>
        <w:jc w:val="both"/>
        <w:rPr>
          <w:rFonts w:ascii="Rubik" w:hAnsi="Rubik" w:cs="Rubik"/>
          <w:sz w:val="22"/>
          <w:szCs w:val="22"/>
        </w:rPr>
      </w:pPr>
    </w:p>
    <w:p w14:paraId="02403BE3" w14:textId="1BA6C086" w:rsidR="00C97A0F" w:rsidRDefault="005E5F75" w:rsidP="00C97A0F">
      <w:pPr>
        <w:jc w:val="both"/>
        <w:rPr>
          <w:rFonts w:ascii="Rubik" w:hAnsi="Rubik" w:cs="Rubik"/>
          <w:sz w:val="22"/>
          <w:szCs w:val="22"/>
        </w:rPr>
      </w:pPr>
      <w:r w:rsidRPr="00A81FDF">
        <w:rPr>
          <w:rFonts w:ascii="Rubik" w:hAnsi="Rubik" w:cs="Rubik"/>
          <w:sz w:val="22"/>
          <w:szCs w:val="22"/>
        </w:rPr>
        <w:t>Il</w:t>
      </w:r>
      <w:r w:rsidR="002067CD" w:rsidRPr="00A81FDF">
        <w:rPr>
          <w:rFonts w:ascii="Rubik" w:hAnsi="Rubik" w:cs="Rubik"/>
          <w:sz w:val="22"/>
          <w:szCs w:val="22"/>
        </w:rPr>
        <w:t xml:space="preserve"> ruolo delle imprese e le opportunità </w:t>
      </w:r>
      <w:r w:rsidRPr="00A81FDF">
        <w:rPr>
          <w:rFonts w:ascii="Rubik" w:hAnsi="Rubik" w:cs="Rubik"/>
          <w:sz w:val="22"/>
          <w:szCs w:val="22"/>
        </w:rPr>
        <w:t>per</w:t>
      </w:r>
      <w:r w:rsidR="002067CD" w:rsidRPr="00A81FDF">
        <w:rPr>
          <w:rFonts w:ascii="Rubik" w:hAnsi="Rubik" w:cs="Rubik"/>
          <w:sz w:val="22"/>
          <w:szCs w:val="22"/>
        </w:rPr>
        <w:t xml:space="preserve"> gli studenti</w:t>
      </w:r>
      <w:r w:rsidRPr="00A81FDF">
        <w:rPr>
          <w:rFonts w:ascii="Rubik" w:hAnsi="Rubik" w:cs="Rubik"/>
          <w:sz w:val="22"/>
          <w:szCs w:val="22"/>
        </w:rPr>
        <w:t xml:space="preserve"> </w:t>
      </w:r>
      <w:r w:rsidR="00C97A0F">
        <w:rPr>
          <w:rFonts w:ascii="Rubik" w:hAnsi="Rubik" w:cs="Rubik"/>
          <w:sz w:val="22"/>
          <w:szCs w:val="22"/>
        </w:rPr>
        <w:t>sono stati</w:t>
      </w:r>
      <w:r w:rsidRPr="00A81FDF">
        <w:rPr>
          <w:rFonts w:ascii="Rubik" w:hAnsi="Rubik" w:cs="Rubik"/>
          <w:sz w:val="22"/>
          <w:szCs w:val="22"/>
        </w:rPr>
        <w:t xml:space="preserve"> illustrati </w:t>
      </w:r>
      <w:r w:rsidR="002067CD" w:rsidRPr="00A81FDF">
        <w:rPr>
          <w:rFonts w:ascii="Rubik" w:hAnsi="Rubik" w:cs="Rubik"/>
          <w:b/>
          <w:bCs/>
          <w:sz w:val="22"/>
          <w:szCs w:val="22"/>
        </w:rPr>
        <w:t>venerdì 24 marzo</w:t>
      </w:r>
      <w:r w:rsidRPr="00A81FDF">
        <w:rPr>
          <w:rFonts w:ascii="Rubik" w:hAnsi="Rubik" w:cs="Rubik"/>
          <w:sz w:val="22"/>
          <w:szCs w:val="22"/>
        </w:rPr>
        <w:t xml:space="preserve"> </w:t>
      </w:r>
      <w:r w:rsidR="002067CD" w:rsidRPr="00A81FDF">
        <w:rPr>
          <w:rFonts w:ascii="Rubik" w:hAnsi="Rubik" w:cs="Rubik"/>
          <w:sz w:val="22"/>
          <w:szCs w:val="22"/>
        </w:rPr>
        <w:t xml:space="preserve">alle </w:t>
      </w:r>
      <w:r w:rsidR="002067CD" w:rsidRPr="00A81FDF">
        <w:rPr>
          <w:rFonts w:ascii="Rubik" w:hAnsi="Rubik" w:cs="Rubik"/>
          <w:b/>
          <w:bCs/>
          <w:sz w:val="22"/>
          <w:szCs w:val="22"/>
        </w:rPr>
        <w:t>ore 15.00</w:t>
      </w:r>
      <w:r w:rsidR="002067CD" w:rsidRPr="00A81FDF">
        <w:rPr>
          <w:rFonts w:ascii="Rubik" w:hAnsi="Rubik" w:cs="Rubik"/>
          <w:sz w:val="22"/>
          <w:szCs w:val="22"/>
        </w:rPr>
        <w:t>, presso l’aula magna del Campus di Ingegneria a Dalmine</w:t>
      </w:r>
      <w:r w:rsidR="00C97A0F">
        <w:rPr>
          <w:rFonts w:ascii="Rubik" w:hAnsi="Rubik" w:cs="Rubik"/>
          <w:sz w:val="22"/>
          <w:szCs w:val="22"/>
        </w:rPr>
        <w:t xml:space="preserve"> dalla ricercatrice dell’Università degli studi di Bergamo </w:t>
      </w:r>
      <w:r w:rsidR="00C97A0F" w:rsidRPr="00C97A0F">
        <w:rPr>
          <w:rFonts w:ascii="Rubik" w:hAnsi="Rubik" w:cs="Rubik"/>
          <w:b/>
          <w:bCs/>
          <w:sz w:val="22"/>
          <w:szCs w:val="22"/>
        </w:rPr>
        <w:t>Fabiana Pirola</w:t>
      </w:r>
      <w:r w:rsidR="00C97A0F">
        <w:rPr>
          <w:rFonts w:ascii="Rubik" w:hAnsi="Rubik" w:cs="Rubik"/>
          <w:sz w:val="22"/>
          <w:szCs w:val="22"/>
        </w:rPr>
        <w:t xml:space="preserve">, che ha fatto seguito agli interventi di saluto del Rettore dell’Università degli studi di Bergamo, </w:t>
      </w:r>
      <w:r w:rsidR="00C97A0F" w:rsidRPr="00C97A0F">
        <w:rPr>
          <w:rFonts w:ascii="Rubik" w:hAnsi="Rubik" w:cs="Rubik"/>
          <w:b/>
          <w:bCs/>
          <w:sz w:val="22"/>
          <w:szCs w:val="22"/>
        </w:rPr>
        <w:t>prof. Sergio Cavalieri</w:t>
      </w:r>
      <w:r w:rsidR="00C97A0F" w:rsidRPr="00C97A0F">
        <w:rPr>
          <w:rFonts w:ascii="Rubik" w:hAnsi="Rubik" w:cs="Rubik"/>
          <w:sz w:val="22"/>
          <w:szCs w:val="22"/>
        </w:rPr>
        <w:t>,</w:t>
      </w:r>
      <w:r w:rsidR="00C97A0F">
        <w:rPr>
          <w:rFonts w:ascii="Rubik" w:hAnsi="Rubik" w:cs="Rubik"/>
          <w:sz w:val="22"/>
          <w:szCs w:val="22"/>
        </w:rPr>
        <w:t xml:space="preserve"> e del </w:t>
      </w:r>
      <w:r w:rsidR="00C97A0F" w:rsidRPr="00C97A0F">
        <w:rPr>
          <w:rFonts w:ascii="Rubik" w:hAnsi="Rubik" w:cs="Rubik"/>
          <w:sz w:val="22"/>
          <w:szCs w:val="22"/>
        </w:rPr>
        <w:t xml:space="preserve">Vice Presidente alla Transizione digitale e Innovazione </w:t>
      </w:r>
      <w:r w:rsidR="00C97A0F">
        <w:rPr>
          <w:rFonts w:ascii="Rubik" w:hAnsi="Rubik" w:cs="Rubik"/>
          <w:sz w:val="22"/>
          <w:szCs w:val="22"/>
        </w:rPr>
        <w:t xml:space="preserve">di </w:t>
      </w:r>
      <w:r w:rsidR="00C97A0F" w:rsidRPr="00C97A0F">
        <w:rPr>
          <w:rFonts w:ascii="Rubik" w:hAnsi="Rubik" w:cs="Rubik"/>
          <w:sz w:val="22"/>
          <w:szCs w:val="22"/>
        </w:rPr>
        <w:t>Confindustria Bergamo</w:t>
      </w:r>
      <w:r w:rsidR="00C97A0F">
        <w:rPr>
          <w:rFonts w:ascii="Rubik" w:hAnsi="Rubik" w:cs="Rubik"/>
          <w:sz w:val="22"/>
          <w:szCs w:val="22"/>
        </w:rPr>
        <w:t xml:space="preserve">, </w:t>
      </w:r>
      <w:r w:rsidR="00C97A0F" w:rsidRPr="00C97A0F">
        <w:rPr>
          <w:rFonts w:ascii="Rubik" w:hAnsi="Rubik" w:cs="Rubik"/>
          <w:b/>
          <w:bCs/>
          <w:sz w:val="22"/>
          <w:szCs w:val="22"/>
        </w:rPr>
        <w:t>Giovanni Fassi</w:t>
      </w:r>
      <w:r w:rsidR="00C97A0F">
        <w:rPr>
          <w:rFonts w:ascii="Rubik" w:hAnsi="Rubik" w:cs="Rubik"/>
          <w:sz w:val="22"/>
          <w:szCs w:val="22"/>
        </w:rPr>
        <w:t>.</w:t>
      </w:r>
    </w:p>
    <w:p w14:paraId="0F45C299" w14:textId="77777777" w:rsidR="002067CD" w:rsidRPr="00A81FDF" w:rsidRDefault="002067CD" w:rsidP="002067CD">
      <w:pPr>
        <w:jc w:val="both"/>
        <w:rPr>
          <w:rFonts w:ascii="Rubik" w:hAnsi="Rubik" w:cs="Rubik"/>
          <w:sz w:val="22"/>
          <w:szCs w:val="22"/>
        </w:rPr>
      </w:pPr>
    </w:p>
    <w:p w14:paraId="589A33EF" w14:textId="371A6F51" w:rsidR="00C97A0F" w:rsidRPr="00C97A0F" w:rsidRDefault="00C97A0F" w:rsidP="00C97A0F">
      <w:pPr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“</w:t>
      </w:r>
      <w:r w:rsidRPr="00C97A0F">
        <w:rPr>
          <w:rFonts w:ascii="Rubik" w:hAnsi="Rubik" w:cs="Rubik"/>
          <w:i/>
          <w:iCs/>
          <w:sz w:val="22"/>
          <w:szCs w:val="22"/>
        </w:rPr>
        <w:t xml:space="preserve">Dopo la positiva risposta ottenuta dalle aziende del territorio nello scorso anno </w:t>
      </w:r>
      <w:r>
        <w:rPr>
          <w:rFonts w:ascii="Rubik" w:hAnsi="Rubik" w:cs="Rubik"/>
          <w:i/>
          <w:iCs/>
          <w:sz w:val="22"/>
          <w:szCs w:val="22"/>
        </w:rPr>
        <w:t xml:space="preserve">- </w:t>
      </w:r>
      <w:r w:rsidRPr="00C97A0F">
        <w:rPr>
          <w:rFonts w:ascii="Rubik" w:hAnsi="Rubik" w:cs="Rubik"/>
          <w:sz w:val="22"/>
          <w:szCs w:val="22"/>
        </w:rPr>
        <w:t xml:space="preserve">spiega il Rettore </w:t>
      </w:r>
      <w:r w:rsidRPr="00C97A0F">
        <w:rPr>
          <w:rFonts w:ascii="Rubik" w:hAnsi="Rubik" w:cs="Rubik"/>
          <w:b/>
          <w:bCs/>
          <w:sz w:val="22"/>
          <w:szCs w:val="22"/>
        </w:rPr>
        <w:t>Prof. Sergio Cavalieri</w:t>
      </w:r>
      <w:r>
        <w:rPr>
          <w:rFonts w:ascii="Rubik" w:hAnsi="Rubik" w:cs="Rubik"/>
          <w:i/>
          <w:iCs/>
          <w:sz w:val="22"/>
          <w:szCs w:val="22"/>
        </w:rPr>
        <w:t xml:space="preserve"> –, </w:t>
      </w:r>
      <w:r w:rsidRPr="00C97A0F">
        <w:rPr>
          <w:rFonts w:ascii="Rubik" w:hAnsi="Rubik" w:cs="Rubik"/>
          <w:i/>
          <w:iCs/>
          <w:sz w:val="22"/>
          <w:szCs w:val="22"/>
        </w:rPr>
        <w:t>quest’anno il Ministero ha assegnato all’</w:t>
      </w:r>
      <w:r>
        <w:rPr>
          <w:rFonts w:ascii="Rubik" w:hAnsi="Rubik" w:cs="Rubik"/>
          <w:i/>
          <w:iCs/>
          <w:sz w:val="22"/>
          <w:szCs w:val="22"/>
        </w:rPr>
        <w:t>U</w:t>
      </w:r>
      <w:r w:rsidRPr="00C97A0F">
        <w:rPr>
          <w:rFonts w:ascii="Rubik" w:hAnsi="Rubik" w:cs="Rubik"/>
          <w:i/>
          <w:iCs/>
          <w:sz w:val="22"/>
          <w:szCs w:val="22"/>
        </w:rPr>
        <w:t>niversità di Bergamo altre 70 borse di studio per l’attivazione di dottorati innovativi a connotazione industriale. L’obiettivo è quello di potenziare le competenze di alto profilo e contribuire a stimolare e accrescere il potenziale innovativo e competitivo del settore industriale tramite l’istituzione di programmi di dottorato che vedono il coinvolgimento attivo delle aziende nella definizione del percorso formativo.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C97A0F">
        <w:rPr>
          <w:rFonts w:ascii="Rubik" w:hAnsi="Rubik" w:cs="Rubik"/>
          <w:i/>
          <w:iCs/>
          <w:sz w:val="22"/>
          <w:szCs w:val="22"/>
        </w:rPr>
        <w:t>Il cofinanziamento di questi percorsi di dottorato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C97A0F">
        <w:rPr>
          <w:rFonts w:ascii="Rubik" w:hAnsi="Rubik" w:cs="Rubik"/>
          <w:i/>
          <w:iCs/>
          <w:sz w:val="22"/>
          <w:szCs w:val="22"/>
        </w:rPr>
        <w:t>consentirà alle aziende del territorio di accedere a profili di eccellenza e di attivare progetti di ricerca applicata che porteranno allo sviluppo e all’implementazione di metodi e approcci innovativi in diversi ambiti applicativi.</w:t>
      </w:r>
      <w:r>
        <w:rPr>
          <w:rFonts w:ascii="Rubik" w:hAnsi="Rubik" w:cs="Rubik"/>
          <w:i/>
          <w:iCs/>
          <w:sz w:val="22"/>
          <w:szCs w:val="22"/>
        </w:rPr>
        <w:t>”</w:t>
      </w:r>
    </w:p>
    <w:p w14:paraId="2C756529" w14:textId="673484B5" w:rsidR="00C97A0F" w:rsidRDefault="00C97A0F" w:rsidP="002067CD">
      <w:pPr>
        <w:jc w:val="both"/>
        <w:rPr>
          <w:rFonts w:ascii="Rubik" w:hAnsi="Rubik" w:cs="Rubik"/>
          <w:sz w:val="22"/>
          <w:szCs w:val="22"/>
        </w:rPr>
      </w:pPr>
    </w:p>
    <w:p w14:paraId="693287BC" w14:textId="257EAB61" w:rsidR="00751646" w:rsidRDefault="00751646" w:rsidP="00751646">
      <w:pPr>
        <w:jc w:val="both"/>
        <w:rPr>
          <w:rFonts w:ascii="Rubik" w:hAnsi="Rubik" w:cs="Rubik"/>
          <w:sz w:val="22"/>
          <w:szCs w:val="22"/>
        </w:rPr>
      </w:pPr>
      <w:r w:rsidRPr="00A81FDF">
        <w:rPr>
          <w:rFonts w:ascii="Rubik" w:hAnsi="Rubik" w:cs="Rubik"/>
          <w:sz w:val="22"/>
          <w:szCs w:val="22"/>
        </w:rPr>
        <w:t>L’appuntamento</w:t>
      </w:r>
      <w:r>
        <w:rPr>
          <w:rFonts w:ascii="Rubik" w:hAnsi="Rubik" w:cs="Rubik"/>
          <w:sz w:val="22"/>
          <w:szCs w:val="22"/>
        </w:rPr>
        <w:t xml:space="preserve"> ha costituito anche</w:t>
      </w:r>
      <w:r w:rsidRPr="00A81FDF">
        <w:rPr>
          <w:rFonts w:ascii="Rubik" w:hAnsi="Rubik" w:cs="Rubik"/>
          <w:sz w:val="22"/>
          <w:szCs w:val="22"/>
        </w:rPr>
        <w:t xml:space="preserve"> l’occasione per dare il benvenuto alle dottorande e ai dottorandi di ricerca del 38° ciclo di dottorato, per presentare i principali </w:t>
      </w:r>
      <w:r w:rsidRPr="00A81FDF">
        <w:rPr>
          <w:rFonts w:ascii="Rubik" w:hAnsi="Rubik" w:cs="Rubik"/>
          <w:b/>
          <w:bCs/>
          <w:sz w:val="22"/>
          <w:szCs w:val="22"/>
        </w:rPr>
        <w:t>servizi a supporto della carriera dottorale</w:t>
      </w:r>
      <w:r w:rsidRPr="00A81FDF">
        <w:rPr>
          <w:rFonts w:ascii="Rubik" w:hAnsi="Rubik" w:cs="Rubik"/>
          <w:sz w:val="22"/>
          <w:szCs w:val="22"/>
        </w:rPr>
        <w:t xml:space="preserve"> e per dare voce ad alcune testimonianze di dottoresse e dottori di ricerca, che </w:t>
      </w:r>
      <w:r>
        <w:rPr>
          <w:rFonts w:ascii="Rubik" w:hAnsi="Rubik" w:cs="Rubik"/>
          <w:sz w:val="22"/>
          <w:szCs w:val="22"/>
        </w:rPr>
        <w:t>hanno raccontat</w:t>
      </w:r>
      <w:r w:rsidRPr="00A81FDF">
        <w:rPr>
          <w:rFonts w:ascii="Rubik" w:hAnsi="Rubik" w:cs="Rubik"/>
          <w:sz w:val="22"/>
          <w:szCs w:val="22"/>
        </w:rPr>
        <w:t>o la propria esperienza, le opportunità, le sfide e le prospettive offerte dal percorso.</w:t>
      </w:r>
      <w:r>
        <w:rPr>
          <w:rFonts w:ascii="Rubik" w:hAnsi="Rubik" w:cs="Rubik"/>
          <w:sz w:val="22"/>
          <w:szCs w:val="22"/>
        </w:rPr>
        <w:t xml:space="preserve"> Presenti all’evento anche i </w:t>
      </w:r>
      <w:r w:rsidRPr="00C97A0F">
        <w:rPr>
          <w:rFonts w:ascii="Rubik" w:hAnsi="Rubik" w:cs="Rubik"/>
          <w:b/>
          <w:bCs/>
          <w:sz w:val="22"/>
          <w:szCs w:val="22"/>
        </w:rPr>
        <w:t>rappresentanti d</w:t>
      </w:r>
      <w:r>
        <w:rPr>
          <w:rFonts w:ascii="Rubik" w:hAnsi="Rubik" w:cs="Rubik"/>
          <w:b/>
          <w:bCs/>
          <w:sz w:val="22"/>
          <w:szCs w:val="22"/>
        </w:rPr>
        <w:t xml:space="preserve">elle </w:t>
      </w:r>
      <w:r w:rsidRPr="00C97A0F">
        <w:rPr>
          <w:rFonts w:ascii="Rubik" w:hAnsi="Rubik" w:cs="Rubik"/>
          <w:b/>
          <w:bCs/>
          <w:sz w:val="22"/>
          <w:szCs w:val="22"/>
        </w:rPr>
        <w:t>aziende</w:t>
      </w:r>
      <w:r>
        <w:rPr>
          <w:rFonts w:ascii="Rubik" w:hAnsi="Rubik" w:cs="Rubik"/>
          <w:sz w:val="22"/>
          <w:szCs w:val="22"/>
        </w:rPr>
        <w:t xml:space="preserve"> che hanno cofinanziato alcune </w:t>
      </w:r>
      <w:r w:rsidRPr="00A16FFB">
        <w:rPr>
          <w:rFonts w:ascii="Rubik" w:hAnsi="Rubik" w:cs="Rubik"/>
          <w:sz w:val="22"/>
          <w:szCs w:val="22"/>
        </w:rPr>
        <w:t>borse</w:t>
      </w:r>
      <w:r w:rsidR="00A16FFB" w:rsidRPr="00A16FFB">
        <w:rPr>
          <w:rFonts w:ascii="Rubik" w:hAnsi="Rubik" w:cs="Rubik"/>
          <w:sz w:val="22"/>
          <w:szCs w:val="22"/>
        </w:rPr>
        <w:t xml:space="preserve"> (</w:t>
      </w:r>
      <w:proofErr w:type="spellStart"/>
      <w:r w:rsidR="00A16FFB" w:rsidRPr="00A16FFB">
        <w:rPr>
          <w:rFonts w:ascii="Rubik" w:hAnsi="Rubik" w:cs="Rubik"/>
          <w:i/>
          <w:iCs/>
          <w:sz w:val="22"/>
          <w:szCs w:val="22"/>
        </w:rPr>
        <w:t>AKinformatica</w:t>
      </w:r>
      <w:proofErr w:type="spellEnd"/>
      <w:r w:rsidR="00A16FFB" w:rsidRPr="00A16FFB">
        <w:rPr>
          <w:rFonts w:ascii="Rubik" w:hAnsi="Rubik" w:cs="Rubik"/>
          <w:i/>
          <w:iCs/>
          <w:sz w:val="22"/>
          <w:szCs w:val="22"/>
        </w:rPr>
        <w:t xml:space="preserve">, Patronato San Vincenzo, </w:t>
      </w:r>
      <w:proofErr w:type="spellStart"/>
      <w:r w:rsidR="00A16FFB" w:rsidRPr="00A16FFB">
        <w:rPr>
          <w:rFonts w:ascii="Rubik" w:hAnsi="Rubik" w:cs="Rubik"/>
          <w:i/>
          <w:iCs/>
          <w:sz w:val="22"/>
          <w:szCs w:val="22"/>
        </w:rPr>
        <w:t>Ecolab</w:t>
      </w:r>
      <w:proofErr w:type="spellEnd"/>
      <w:r w:rsidR="00A16FFB" w:rsidRPr="00A16FFB">
        <w:rPr>
          <w:rFonts w:ascii="Rubik" w:hAnsi="Rubik" w:cs="Rubik"/>
          <w:i/>
          <w:iCs/>
          <w:sz w:val="22"/>
          <w:szCs w:val="22"/>
        </w:rPr>
        <w:t xml:space="preserve">, Fonderie Ariotti, CMS, </w:t>
      </w:r>
      <w:proofErr w:type="spellStart"/>
      <w:r w:rsidR="00A16FFB" w:rsidRPr="00A16FFB">
        <w:rPr>
          <w:rFonts w:ascii="Rubik" w:hAnsi="Rubik" w:cs="Rubik"/>
          <w:i/>
          <w:iCs/>
          <w:sz w:val="22"/>
          <w:szCs w:val="22"/>
        </w:rPr>
        <w:t>Itema</w:t>
      </w:r>
      <w:proofErr w:type="spellEnd"/>
      <w:r w:rsidR="00A16FFB" w:rsidRPr="00A16FFB">
        <w:rPr>
          <w:rFonts w:ascii="Rubik" w:hAnsi="Rubik" w:cs="Rubik"/>
          <w:i/>
          <w:iCs/>
          <w:sz w:val="22"/>
          <w:szCs w:val="22"/>
        </w:rPr>
        <w:t xml:space="preserve">, Confindustria Bergamo, Radici </w:t>
      </w:r>
      <w:proofErr w:type="spellStart"/>
      <w:r w:rsidR="00A16FFB" w:rsidRPr="00A16FFB">
        <w:rPr>
          <w:rFonts w:ascii="Rubik" w:hAnsi="Rubik" w:cs="Rubik"/>
          <w:i/>
          <w:iCs/>
          <w:sz w:val="22"/>
          <w:szCs w:val="22"/>
        </w:rPr>
        <w:t>Yarn</w:t>
      </w:r>
      <w:proofErr w:type="spellEnd"/>
      <w:r w:rsidR="00A16FFB" w:rsidRPr="00A16FFB">
        <w:rPr>
          <w:rFonts w:ascii="Rubik" w:hAnsi="Rubik" w:cs="Rubik"/>
          <w:i/>
          <w:iCs/>
          <w:sz w:val="22"/>
          <w:szCs w:val="22"/>
        </w:rPr>
        <w:t xml:space="preserve">, Pinetti, Snam rete e gas, W&amp;H </w:t>
      </w:r>
      <w:proofErr w:type="spellStart"/>
      <w:r w:rsidR="00A16FFB" w:rsidRPr="00A16FFB">
        <w:rPr>
          <w:rFonts w:ascii="Rubik" w:hAnsi="Rubik" w:cs="Rubik"/>
          <w:i/>
          <w:iCs/>
          <w:sz w:val="22"/>
          <w:szCs w:val="22"/>
        </w:rPr>
        <w:t>Sterilization</w:t>
      </w:r>
      <w:proofErr w:type="spellEnd"/>
      <w:r w:rsidR="00A16FFB" w:rsidRPr="00A16FFB">
        <w:rPr>
          <w:rFonts w:ascii="Rubik" w:hAnsi="Rubik" w:cs="Rubik"/>
          <w:i/>
          <w:iCs/>
          <w:sz w:val="22"/>
          <w:szCs w:val="22"/>
        </w:rPr>
        <w:t xml:space="preserve">, </w:t>
      </w:r>
      <w:proofErr w:type="spellStart"/>
      <w:r w:rsidR="00A16FFB" w:rsidRPr="00A16FFB">
        <w:rPr>
          <w:rFonts w:ascii="Rubik" w:hAnsi="Rubik" w:cs="Rubik"/>
          <w:i/>
          <w:iCs/>
          <w:sz w:val="22"/>
          <w:szCs w:val="22"/>
        </w:rPr>
        <w:t>Indeva</w:t>
      </w:r>
      <w:proofErr w:type="spellEnd"/>
      <w:r w:rsidR="00A16FFB" w:rsidRPr="00A16FFB">
        <w:rPr>
          <w:rFonts w:ascii="Rubik" w:hAnsi="Rubik" w:cs="Rubik"/>
          <w:i/>
          <w:iCs/>
          <w:sz w:val="22"/>
          <w:szCs w:val="22"/>
        </w:rPr>
        <w:t>, ABB</w:t>
      </w:r>
      <w:r w:rsidR="00A16FFB" w:rsidRPr="00A16FFB">
        <w:rPr>
          <w:rFonts w:ascii="Rubik" w:hAnsi="Rubik" w:cs="Rubik"/>
          <w:sz w:val="22"/>
          <w:szCs w:val="22"/>
        </w:rPr>
        <w:t>).</w:t>
      </w:r>
    </w:p>
    <w:p w14:paraId="2BC6BDF6" w14:textId="6841997A" w:rsidR="00751646" w:rsidRDefault="00751646">
      <w:pPr>
        <w:jc w:val="both"/>
        <w:rPr>
          <w:rFonts w:ascii="Rubik" w:hAnsi="Rubik" w:cs="Rubik"/>
          <w:sz w:val="22"/>
          <w:szCs w:val="22"/>
        </w:rPr>
      </w:pPr>
    </w:p>
    <w:p w14:paraId="37A9D86E" w14:textId="05B4EB61" w:rsidR="00751646" w:rsidRDefault="00751646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Negli ultimi 3 anni l’Università degli studi di Bergamo, grazie ai finanziamenti PON e PNRR, ha visto raddoppiare il </w:t>
      </w:r>
      <w:r w:rsidRPr="00751646">
        <w:rPr>
          <w:rFonts w:ascii="Rubik" w:hAnsi="Rubik" w:cs="Rubik"/>
          <w:b/>
          <w:bCs/>
          <w:sz w:val="22"/>
          <w:szCs w:val="22"/>
        </w:rPr>
        <w:t>numero totale di posti banditi</w:t>
      </w:r>
      <w:r>
        <w:rPr>
          <w:rFonts w:ascii="Rubik" w:hAnsi="Rubik" w:cs="Rubik"/>
          <w:sz w:val="22"/>
          <w:szCs w:val="22"/>
        </w:rPr>
        <w:t xml:space="preserve"> tramite le </w:t>
      </w:r>
      <w:r w:rsidRPr="00751646">
        <w:rPr>
          <w:rFonts w:ascii="Rubik" w:hAnsi="Rubik" w:cs="Rubik"/>
          <w:b/>
          <w:bCs/>
          <w:sz w:val="22"/>
          <w:szCs w:val="22"/>
        </w:rPr>
        <w:t>borse di dottorato</w:t>
      </w:r>
      <w:r>
        <w:rPr>
          <w:rFonts w:ascii="Rubik" w:hAnsi="Rubik" w:cs="Rubik"/>
          <w:sz w:val="22"/>
          <w:szCs w:val="22"/>
        </w:rPr>
        <w:t>: dai 45 posti messi a disposizione nel 2020, si è passati agli 86 del 2021 e ai 104 del 2022. Anche le borse da bando ordinario sono aumentate (da 45 a 57), a dimostrazione della forte propensione di UniBg verso la valorizzazione della formazione di terzo livello.</w:t>
      </w:r>
    </w:p>
    <w:sectPr w:rsidR="00751646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BDB9" w14:textId="77777777" w:rsidR="00223EA0" w:rsidRDefault="00223EA0">
      <w:r>
        <w:separator/>
      </w:r>
    </w:p>
  </w:endnote>
  <w:endnote w:type="continuationSeparator" w:id="0">
    <w:p w14:paraId="2C460BA8" w14:textId="77777777" w:rsidR="00223EA0" w:rsidRDefault="0022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9C4B" w14:textId="77777777" w:rsidR="00223EA0" w:rsidRDefault="00223EA0">
      <w:r>
        <w:separator/>
      </w:r>
    </w:p>
  </w:footnote>
  <w:footnote w:type="continuationSeparator" w:id="0">
    <w:p w14:paraId="0DB61D13" w14:textId="77777777" w:rsidR="00223EA0" w:rsidRDefault="0022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070E"/>
    <w:rsid w:val="000434F5"/>
    <w:rsid w:val="00081453"/>
    <w:rsid w:val="00094222"/>
    <w:rsid w:val="000A4744"/>
    <w:rsid w:val="000A5632"/>
    <w:rsid w:val="000D6C04"/>
    <w:rsid w:val="000F3254"/>
    <w:rsid w:val="00103B96"/>
    <w:rsid w:val="00130B07"/>
    <w:rsid w:val="00134AD4"/>
    <w:rsid w:val="00135484"/>
    <w:rsid w:val="00155E7B"/>
    <w:rsid w:val="001611B8"/>
    <w:rsid w:val="00181616"/>
    <w:rsid w:val="00186E51"/>
    <w:rsid w:val="001C3D94"/>
    <w:rsid w:val="001E0CC7"/>
    <w:rsid w:val="002067CD"/>
    <w:rsid w:val="002209B8"/>
    <w:rsid w:val="00223EA0"/>
    <w:rsid w:val="002266D1"/>
    <w:rsid w:val="0024426B"/>
    <w:rsid w:val="002640B0"/>
    <w:rsid w:val="00271BE8"/>
    <w:rsid w:val="00284CA6"/>
    <w:rsid w:val="002A7937"/>
    <w:rsid w:val="002B0BA5"/>
    <w:rsid w:val="002D5CD3"/>
    <w:rsid w:val="002E3E77"/>
    <w:rsid w:val="002E4361"/>
    <w:rsid w:val="002E4DA9"/>
    <w:rsid w:val="002F089C"/>
    <w:rsid w:val="00307194"/>
    <w:rsid w:val="003605F2"/>
    <w:rsid w:val="003730ED"/>
    <w:rsid w:val="00393E25"/>
    <w:rsid w:val="003B1FD6"/>
    <w:rsid w:val="003B7D43"/>
    <w:rsid w:val="003C0E88"/>
    <w:rsid w:val="00404C79"/>
    <w:rsid w:val="00447474"/>
    <w:rsid w:val="00491F41"/>
    <w:rsid w:val="004A5C2E"/>
    <w:rsid w:val="004C0ACD"/>
    <w:rsid w:val="004C10B9"/>
    <w:rsid w:val="004C3806"/>
    <w:rsid w:val="004D071E"/>
    <w:rsid w:val="004E7E4D"/>
    <w:rsid w:val="004F1235"/>
    <w:rsid w:val="004F3A8D"/>
    <w:rsid w:val="00540C71"/>
    <w:rsid w:val="00585DEC"/>
    <w:rsid w:val="0058734C"/>
    <w:rsid w:val="00595C0C"/>
    <w:rsid w:val="005B42D2"/>
    <w:rsid w:val="005C098B"/>
    <w:rsid w:val="005E5F75"/>
    <w:rsid w:val="00600112"/>
    <w:rsid w:val="00602A69"/>
    <w:rsid w:val="00605A5B"/>
    <w:rsid w:val="006659D4"/>
    <w:rsid w:val="006C372E"/>
    <w:rsid w:val="006C58F4"/>
    <w:rsid w:val="006F4D9F"/>
    <w:rsid w:val="0070478D"/>
    <w:rsid w:val="007135A3"/>
    <w:rsid w:val="00737D94"/>
    <w:rsid w:val="00751646"/>
    <w:rsid w:val="00787CF9"/>
    <w:rsid w:val="00794740"/>
    <w:rsid w:val="007A2F48"/>
    <w:rsid w:val="007A66F7"/>
    <w:rsid w:val="007C19B3"/>
    <w:rsid w:val="007C29C7"/>
    <w:rsid w:val="007F2F89"/>
    <w:rsid w:val="00804E31"/>
    <w:rsid w:val="008231F1"/>
    <w:rsid w:val="00833F4A"/>
    <w:rsid w:val="008540E7"/>
    <w:rsid w:val="00854A0F"/>
    <w:rsid w:val="00857C7B"/>
    <w:rsid w:val="00873255"/>
    <w:rsid w:val="008964D8"/>
    <w:rsid w:val="008A2672"/>
    <w:rsid w:val="008C2DE6"/>
    <w:rsid w:val="008F4EC1"/>
    <w:rsid w:val="00943013"/>
    <w:rsid w:val="0094481F"/>
    <w:rsid w:val="009841B4"/>
    <w:rsid w:val="009C05FA"/>
    <w:rsid w:val="009C2DF4"/>
    <w:rsid w:val="009D536F"/>
    <w:rsid w:val="009F5BC3"/>
    <w:rsid w:val="00A16FFB"/>
    <w:rsid w:val="00A53599"/>
    <w:rsid w:val="00A56A2A"/>
    <w:rsid w:val="00A81FDF"/>
    <w:rsid w:val="00A95869"/>
    <w:rsid w:val="00AA1DBF"/>
    <w:rsid w:val="00AC4C9E"/>
    <w:rsid w:val="00B06AEB"/>
    <w:rsid w:val="00B303AF"/>
    <w:rsid w:val="00B95445"/>
    <w:rsid w:val="00BA1960"/>
    <w:rsid w:val="00BA5D2F"/>
    <w:rsid w:val="00BB69C5"/>
    <w:rsid w:val="00BC3E65"/>
    <w:rsid w:val="00BC42D5"/>
    <w:rsid w:val="00C02775"/>
    <w:rsid w:val="00C62184"/>
    <w:rsid w:val="00C67C30"/>
    <w:rsid w:val="00C740AF"/>
    <w:rsid w:val="00C97A0F"/>
    <w:rsid w:val="00CC6B14"/>
    <w:rsid w:val="00CD5F82"/>
    <w:rsid w:val="00D126B7"/>
    <w:rsid w:val="00D249F2"/>
    <w:rsid w:val="00D34401"/>
    <w:rsid w:val="00D46A9B"/>
    <w:rsid w:val="00DA2017"/>
    <w:rsid w:val="00DC19EC"/>
    <w:rsid w:val="00DD1CA5"/>
    <w:rsid w:val="00E06571"/>
    <w:rsid w:val="00E138A5"/>
    <w:rsid w:val="00E237AF"/>
    <w:rsid w:val="00E27291"/>
    <w:rsid w:val="00E31F8B"/>
    <w:rsid w:val="00E91DED"/>
    <w:rsid w:val="00E93FEF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57B90"/>
    <w:rsid w:val="00F6219E"/>
    <w:rsid w:val="00F67F48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9</cp:revision>
  <dcterms:created xsi:type="dcterms:W3CDTF">2023-03-17T16:32:00Z</dcterms:created>
  <dcterms:modified xsi:type="dcterms:W3CDTF">2023-03-24T13:42:00Z</dcterms:modified>
</cp:coreProperties>
</file>