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168" w14:textId="70B77097" w:rsidR="00A23A14" w:rsidRPr="00256742" w:rsidRDefault="009E511D" w:rsidP="00004F06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56742"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6A6BD06D" w14:textId="48675208" w:rsidR="00F805FF" w:rsidRPr="00256742" w:rsidRDefault="00F805FF" w:rsidP="00004F06">
      <w:pPr>
        <w:jc w:val="both"/>
        <w:rPr>
          <w:rFonts w:ascii="Rubik" w:eastAsia="Rubik" w:hAnsi="Rubik" w:cs="Rubik"/>
          <w:u w:val="single"/>
        </w:rPr>
      </w:pPr>
    </w:p>
    <w:p w14:paraId="450254C7" w14:textId="1A8AFF03" w:rsidR="00256742" w:rsidRPr="00256742" w:rsidRDefault="00256742" w:rsidP="00256742">
      <w:pPr>
        <w:jc w:val="center"/>
        <w:rPr>
          <w:rFonts w:ascii="Rubik" w:hAnsi="Rubik" w:cs="Rubik"/>
          <w:b/>
          <w:bCs/>
        </w:rPr>
      </w:pPr>
      <w:r w:rsidRPr="00256742">
        <w:rPr>
          <w:rFonts w:ascii="Rubik" w:hAnsi="Rubik" w:cs="Rubik"/>
          <w:b/>
          <w:bCs/>
        </w:rPr>
        <w:t xml:space="preserve">DOTTORATI INNOVATIVI, AL VIA IL BANDO PER L’ASSEGNAZIONE DI </w:t>
      </w:r>
      <w:r w:rsidR="00F03125">
        <w:rPr>
          <w:rFonts w:ascii="Rubik" w:hAnsi="Rubik" w:cs="Rubik"/>
          <w:b/>
          <w:bCs/>
        </w:rPr>
        <w:t>28</w:t>
      </w:r>
      <w:r w:rsidRPr="00256742">
        <w:rPr>
          <w:rFonts w:ascii="Rubik" w:hAnsi="Rubik" w:cs="Rubik"/>
          <w:b/>
          <w:bCs/>
        </w:rPr>
        <w:t xml:space="preserve"> BORSE</w:t>
      </w:r>
      <w:r>
        <w:rPr>
          <w:rFonts w:ascii="Rubik" w:hAnsi="Rubik" w:cs="Rubik"/>
          <w:b/>
          <w:bCs/>
        </w:rPr>
        <w:t xml:space="preserve"> </w:t>
      </w:r>
      <w:r w:rsidRPr="00256742">
        <w:rPr>
          <w:rFonts w:ascii="Rubik" w:hAnsi="Rubik" w:cs="Rubik"/>
          <w:b/>
          <w:bCs/>
        </w:rPr>
        <w:t>DI RICERCA</w:t>
      </w:r>
      <w:r>
        <w:rPr>
          <w:rFonts w:ascii="Rubik" w:hAnsi="Rubik" w:cs="Rubik"/>
          <w:b/>
          <w:bCs/>
        </w:rPr>
        <w:t xml:space="preserve"> </w:t>
      </w:r>
      <w:r w:rsidRPr="00256742">
        <w:rPr>
          <w:rFonts w:ascii="Rubik" w:hAnsi="Rubik" w:cs="Rubik"/>
          <w:b/>
          <w:bCs/>
        </w:rPr>
        <w:t>CON I FONDI DEL PNRR E IL CO-FINANZIAMENTO DI IMPRESE DEL TERRITORIO</w:t>
      </w:r>
    </w:p>
    <w:p w14:paraId="057B2D4A" w14:textId="77777777" w:rsidR="00256742" w:rsidRPr="00256742" w:rsidRDefault="00256742" w:rsidP="00256742">
      <w:pPr>
        <w:jc w:val="center"/>
        <w:rPr>
          <w:rFonts w:ascii="Rubik" w:hAnsi="Rubik" w:cs="Rubik"/>
          <w:b/>
          <w:bCs/>
        </w:rPr>
      </w:pPr>
    </w:p>
    <w:p w14:paraId="75E1D48E" w14:textId="37D4BA9E" w:rsidR="00256742" w:rsidRPr="00256742" w:rsidRDefault="00256742" w:rsidP="00256742">
      <w:pPr>
        <w:jc w:val="center"/>
        <w:rPr>
          <w:rFonts w:ascii="Rubik" w:hAnsi="Rubik" w:cs="Rubik"/>
          <w:b/>
          <w:bCs/>
          <w:i/>
          <w:iCs/>
        </w:rPr>
      </w:pPr>
      <w:r w:rsidRPr="00256742">
        <w:rPr>
          <w:rFonts w:ascii="Rubik" w:hAnsi="Rubik" w:cs="Rubik"/>
          <w:b/>
          <w:bCs/>
          <w:i/>
          <w:iCs/>
        </w:rPr>
        <w:t>Fino al 25 agosto la possibilità di presentare la propria candidatura,</w:t>
      </w:r>
      <w:r>
        <w:rPr>
          <w:rFonts w:ascii="Rubik" w:hAnsi="Rubik" w:cs="Rubik"/>
          <w:b/>
          <w:bCs/>
          <w:i/>
          <w:iCs/>
        </w:rPr>
        <w:t xml:space="preserve"> </w:t>
      </w:r>
      <w:r w:rsidRPr="00256742">
        <w:rPr>
          <w:rFonts w:ascii="Rubik" w:hAnsi="Rubik" w:cs="Rubik"/>
          <w:b/>
          <w:bCs/>
          <w:i/>
          <w:iCs/>
        </w:rPr>
        <w:t>per intraprendere un percorso di ricerca applicata</w:t>
      </w:r>
      <w:r>
        <w:rPr>
          <w:rFonts w:ascii="Rubik" w:hAnsi="Rubik" w:cs="Rubik"/>
          <w:b/>
          <w:bCs/>
          <w:i/>
          <w:iCs/>
        </w:rPr>
        <w:t xml:space="preserve"> </w:t>
      </w:r>
      <w:r w:rsidRPr="00256742">
        <w:rPr>
          <w:rFonts w:ascii="Rubik" w:hAnsi="Rubik" w:cs="Rubik"/>
          <w:b/>
          <w:bCs/>
          <w:i/>
          <w:iCs/>
        </w:rPr>
        <w:t>sulla base delle reali esigenze di innovazione espresse dalle aziende</w:t>
      </w:r>
    </w:p>
    <w:p w14:paraId="73A4506E" w14:textId="77777777" w:rsidR="00256742" w:rsidRPr="00256742" w:rsidRDefault="00256742" w:rsidP="00256742">
      <w:pPr>
        <w:jc w:val="center"/>
        <w:rPr>
          <w:rFonts w:ascii="Rubik" w:hAnsi="Rubik" w:cs="Rubik"/>
          <w:b/>
          <w:bCs/>
          <w:i/>
          <w:iCs/>
        </w:rPr>
      </w:pPr>
    </w:p>
    <w:p w14:paraId="01AE8E1E" w14:textId="3250F0D7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F9680F" w:rsidRPr="00FF12D5">
        <w:rPr>
          <w:rFonts w:ascii="Rubik" w:hAnsi="Rubik" w:cs="Rubik"/>
          <w:i/>
          <w:iCs/>
          <w:sz w:val="22"/>
          <w:szCs w:val="22"/>
        </w:rPr>
        <w:t xml:space="preserve">22 </w:t>
      </w:r>
      <w:r w:rsidRPr="00FF12D5">
        <w:rPr>
          <w:rFonts w:ascii="Rubik" w:hAnsi="Rubik" w:cs="Rubik"/>
          <w:i/>
          <w:iCs/>
          <w:sz w:val="22"/>
          <w:szCs w:val="22"/>
        </w:rPr>
        <w:t xml:space="preserve">giugno 2023 – </w:t>
      </w:r>
      <w:r w:rsidR="00785440" w:rsidRPr="00FF12D5">
        <w:rPr>
          <w:rFonts w:ascii="Rubik" w:hAnsi="Rubik" w:cs="Rubik"/>
          <w:b/>
          <w:bCs/>
          <w:sz w:val="22"/>
          <w:szCs w:val="22"/>
        </w:rPr>
        <w:t xml:space="preserve">Ventotto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borse </w:t>
      </w:r>
      <w:r w:rsidRPr="00FF12D5">
        <w:rPr>
          <w:rFonts w:ascii="Rubik" w:hAnsi="Rubik" w:cs="Rubik"/>
          <w:sz w:val="22"/>
          <w:szCs w:val="22"/>
        </w:rPr>
        <w:t>per altrettanti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 dottorati di ricerca innovativi</w:t>
      </w:r>
      <w:r w:rsidRPr="00FF12D5">
        <w:rPr>
          <w:rFonts w:ascii="Rubik" w:hAnsi="Rubik" w:cs="Rubik"/>
          <w:sz w:val="22"/>
          <w:szCs w:val="22"/>
        </w:rPr>
        <w:t xml:space="preserve">: è l’opportunità che, grazie a </w:t>
      </w:r>
      <w:r w:rsidRPr="00FF12D5">
        <w:rPr>
          <w:rFonts w:ascii="Rubik" w:hAnsi="Rubik" w:cs="Rubik"/>
          <w:b/>
          <w:bCs/>
          <w:sz w:val="22"/>
          <w:szCs w:val="22"/>
        </w:rPr>
        <w:t>fondi PNRR</w:t>
      </w:r>
      <w:r w:rsidRPr="00FF12D5">
        <w:rPr>
          <w:rFonts w:ascii="Rubik" w:hAnsi="Rubik" w:cs="Rubik"/>
          <w:sz w:val="22"/>
          <w:szCs w:val="22"/>
        </w:rPr>
        <w:t xml:space="preserve"> messi a disposizione dal Ministero dell’Università e della Ricerca,  </w:t>
      </w:r>
      <w:r w:rsidRPr="00FF12D5">
        <w:rPr>
          <w:rFonts w:ascii="Rubik" w:hAnsi="Rubik" w:cs="Rubik"/>
          <w:b/>
          <w:bCs/>
          <w:sz w:val="22"/>
          <w:szCs w:val="22"/>
        </w:rPr>
        <w:t>l’Università degli studi di Bergamo</w:t>
      </w:r>
      <w:r w:rsidRPr="00FF12D5">
        <w:rPr>
          <w:rFonts w:ascii="Rubik" w:hAnsi="Rubik" w:cs="Rubik"/>
          <w:sz w:val="22"/>
          <w:szCs w:val="22"/>
        </w:rPr>
        <w:t xml:space="preserve"> offre ad aspiranti ricercatori, in stretta collaborazione con una serie di </w:t>
      </w:r>
      <w:r w:rsidRPr="00FF12D5">
        <w:rPr>
          <w:rFonts w:ascii="Rubik" w:hAnsi="Rubik" w:cs="Rubik"/>
          <w:b/>
          <w:bCs/>
          <w:sz w:val="22"/>
          <w:szCs w:val="22"/>
        </w:rPr>
        <w:t>aziende del territorio</w:t>
      </w:r>
      <w:r w:rsidRPr="00FF12D5">
        <w:rPr>
          <w:rFonts w:ascii="Rubik" w:hAnsi="Rubik" w:cs="Rubik"/>
          <w:sz w:val="22"/>
          <w:szCs w:val="22"/>
        </w:rPr>
        <w:t>, co-finanziatrici (e co-protagoniste) dell’iniziativa.</w:t>
      </w:r>
    </w:p>
    <w:p w14:paraId="228A0C82" w14:textId="77777777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</w:p>
    <w:p w14:paraId="208EB5A5" w14:textId="528383B4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>Si tratta del XXXIX ciclo dei cosiddetti “</w:t>
      </w:r>
      <w:r w:rsidRPr="00FF12D5">
        <w:rPr>
          <w:rFonts w:ascii="Rubik" w:hAnsi="Rubik" w:cs="Rubik"/>
          <w:b/>
          <w:bCs/>
          <w:sz w:val="22"/>
          <w:szCs w:val="22"/>
        </w:rPr>
        <w:t>dottorati innovativi</w:t>
      </w:r>
      <w:r w:rsidRPr="00FF12D5">
        <w:rPr>
          <w:rFonts w:ascii="Rubik" w:hAnsi="Rubik" w:cs="Rubik"/>
          <w:sz w:val="22"/>
          <w:szCs w:val="22"/>
        </w:rPr>
        <w:t xml:space="preserve">”. Le </w:t>
      </w:r>
      <w:r w:rsidR="00785440" w:rsidRPr="00FF12D5">
        <w:rPr>
          <w:rFonts w:ascii="Rubik" w:hAnsi="Rubik" w:cs="Rubik"/>
          <w:sz w:val="22"/>
          <w:szCs w:val="22"/>
        </w:rPr>
        <w:t>28</w:t>
      </w:r>
      <w:r w:rsidRPr="00FF12D5">
        <w:rPr>
          <w:rFonts w:ascii="Rubik" w:hAnsi="Rubik" w:cs="Rubik"/>
          <w:sz w:val="22"/>
          <w:szCs w:val="22"/>
        </w:rPr>
        <w:t xml:space="preserve"> borse co-</w:t>
      </w:r>
      <w:proofErr w:type="spellStart"/>
      <w:r w:rsidRPr="00FF12D5">
        <w:rPr>
          <w:rFonts w:ascii="Rubik" w:hAnsi="Rubik" w:cs="Rubik"/>
          <w:sz w:val="22"/>
          <w:szCs w:val="22"/>
        </w:rPr>
        <w:t>finanziate</w:t>
      </w:r>
      <w:proofErr w:type="spellEnd"/>
      <w:r w:rsidRPr="00FF12D5">
        <w:rPr>
          <w:rFonts w:ascii="Rubik" w:hAnsi="Rubik" w:cs="Rubik"/>
          <w:sz w:val="22"/>
          <w:szCs w:val="22"/>
        </w:rPr>
        <w:t xml:space="preserve"> si inseriscono nel programma </w:t>
      </w:r>
      <w:proofErr w:type="spellStart"/>
      <w:r w:rsidRPr="00FF12D5">
        <w:rPr>
          <w:rFonts w:ascii="Rubik" w:hAnsi="Rubik" w:cs="Rubik"/>
          <w:sz w:val="22"/>
          <w:szCs w:val="22"/>
        </w:rPr>
        <w:t>Pnrr</w:t>
      </w:r>
      <w:proofErr w:type="spellEnd"/>
      <w:r w:rsidRPr="00FF12D5">
        <w:rPr>
          <w:rFonts w:ascii="Rubik" w:hAnsi="Rubik" w:cs="Rubik"/>
          <w:sz w:val="22"/>
          <w:szCs w:val="22"/>
        </w:rPr>
        <w:t xml:space="preserve"> - Missione 4, componente 2, Investimento 3.3, relativo a dottorati industriali che rispondono ai </w:t>
      </w:r>
      <w:r w:rsidRPr="00FF12D5">
        <w:rPr>
          <w:rFonts w:ascii="Rubik" w:hAnsi="Rubik" w:cs="Rubik"/>
          <w:b/>
          <w:bCs/>
          <w:sz w:val="22"/>
          <w:szCs w:val="22"/>
        </w:rPr>
        <w:t>fabbisogni di innovazione delle imprese</w:t>
      </w:r>
      <w:r w:rsidRPr="00FF12D5">
        <w:rPr>
          <w:rFonts w:ascii="Rubik" w:hAnsi="Rubik" w:cs="Rubik"/>
          <w:sz w:val="22"/>
          <w:szCs w:val="22"/>
        </w:rPr>
        <w:t xml:space="preserve"> e </w:t>
      </w:r>
      <w:r w:rsidRPr="00FF12D5">
        <w:rPr>
          <w:rFonts w:ascii="Rubik" w:hAnsi="Rubik" w:cs="Rubik"/>
          <w:b/>
          <w:bCs/>
          <w:sz w:val="22"/>
          <w:szCs w:val="22"/>
        </w:rPr>
        <w:t>promuovono l’assunzione di ricercatori in azienda</w:t>
      </w:r>
      <w:r w:rsidRPr="00FF12D5">
        <w:rPr>
          <w:rFonts w:ascii="Rubik" w:hAnsi="Rubik" w:cs="Rubik"/>
          <w:sz w:val="22"/>
          <w:szCs w:val="22"/>
        </w:rPr>
        <w:t xml:space="preserve">. La chiave del successo dei dottorati innovativi è proprio nella </w:t>
      </w:r>
      <w:r w:rsidRPr="00FF12D5">
        <w:rPr>
          <w:rFonts w:ascii="Rubik" w:hAnsi="Rubik" w:cs="Rubik"/>
          <w:b/>
          <w:bCs/>
          <w:sz w:val="22"/>
          <w:szCs w:val="22"/>
        </w:rPr>
        <w:t>stretta collaborazione con il mondo delle imprese</w:t>
      </w:r>
      <w:r w:rsidRPr="00FF12D5">
        <w:rPr>
          <w:rFonts w:ascii="Rubik" w:hAnsi="Rubik" w:cs="Rubik"/>
          <w:sz w:val="22"/>
          <w:szCs w:val="22"/>
        </w:rPr>
        <w:t xml:space="preserve">: i temi e i percorsi formativi sono infatti definiti con il forte coinvolgimento dell’azienda co-finanziatrice. L’obiettivo è condurre progetti di ricerca applicata che, a partire dalle reali esigenze presenti e future delle aziende del territorio, sviluppino tecnologie, metodi e approcci innovativi. In una parola: </w:t>
      </w:r>
      <w:r w:rsidRPr="00FF12D5">
        <w:rPr>
          <w:rFonts w:ascii="Rubik" w:hAnsi="Rubik" w:cs="Rubik"/>
          <w:b/>
          <w:bCs/>
          <w:sz w:val="22"/>
          <w:szCs w:val="22"/>
        </w:rPr>
        <w:t>progetti che servano davvero, concretamente, alla crescita e allo sviluppo delle imprese che li co-finanziano</w:t>
      </w:r>
      <w:r w:rsidRPr="00FF12D5">
        <w:rPr>
          <w:rFonts w:ascii="Rubik" w:hAnsi="Rubik" w:cs="Rubik"/>
          <w:sz w:val="22"/>
          <w:szCs w:val="22"/>
        </w:rPr>
        <w:t>. Un modo di valorizzare sempre di più la componente ricerca all’interno delle aziende, riconoscendone il valore e il ruolo strategico fondamentale.</w:t>
      </w:r>
    </w:p>
    <w:p w14:paraId="2E7091A7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1DDB3CE2" w14:textId="2F908D35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I dottorati hanno </w:t>
      </w:r>
      <w:r w:rsidRPr="00FF12D5">
        <w:rPr>
          <w:rFonts w:ascii="Rubik" w:hAnsi="Rubik" w:cs="Rubik"/>
          <w:b/>
          <w:bCs/>
          <w:sz w:val="22"/>
          <w:szCs w:val="22"/>
        </w:rPr>
        <w:t>durata di 3-4 anni</w:t>
      </w:r>
      <w:r w:rsidRPr="00FF12D5">
        <w:rPr>
          <w:rFonts w:ascii="Rubik" w:hAnsi="Rubik" w:cs="Rubik"/>
          <w:sz w:val="22"/>
          <w:szCs w:val="22"/>
        </w:rPr>
        <w:t xml:space="preserve"> e prevedono in prima battuta </w:t>
      </w:r>
      <w:r w:rsidRPr="00FF12D5">
        <w:rPr>
          <w:rFonts w:ascii="Rubik" w:hAnsi="Rubik" w:cs="Rubik"/>
          <w:b/>
          <w:bCs/>
          <w:sz w:val="22"/>
          <w:szCs w:val="22"/>
        </w:rPr>
        <w:t>un periodo di studio e di ricerca in azienda</w:t>
      </w:r>
      <w:r w:rsidRPr="00FF12D5">
        <w:rPr>
          <w:rFonts w:ascii="Rubik" w:hAnsi="Rubik" w:cs="Rubik"/>
          <w:sz w:val="22"/>
          <w:szCs w:val="22"/>
        </w:rPr>
        <w:t xml:space="preserve">, della durata che va da un minimo di 6 a un massimo di 18 mesi; in una seconda fase il progetto prosegue </w:t>
      </w:r>
      <w:r w:rsidRPr="00FF12D5">
        <w:rPr>
          <w:rFonts w:ascii="Rubik" w:hAnsi="Rubik" w:cs="Rubik"/>
          <w:b/>
          <w:bCs/>
          <w:sz w:val="22"/>
          <w:szCs w:val="22"/>
        </w:rPr>
        <w:t>presso Università o centri di ricerca all’estero</w:t>
      </w:r>
      <w:r w:rsidRPr="00FF12D5">
        <w:rPr>
          <w:rFonts w:ascii="Rubik" w:hAnsi="Rubik" w:cs="Rubik"/>
          <w:sz w:val="22"/>
          <w:szCs w:val="22"/>
        </w:rPr>
        <w:t>, anche in questo caso per un periodo compreso tra i 6 mesi e l’anno e mezzo.</w:t>
      </w:r>
    </w:p>
    <w:p w14:paraId="5786066A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7EBB6E95" w14:textId="2503C65B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Si accede al dottorato di ricerca tramite un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concorso pubblico indetto dall’Università degli </w:t>
      </w:r>
      <w:r w:rsidR="00414613" w:rsidRPr="00FF12D5">
        <w:rPr>
          <w:rFonts w:ascii="Rubik" w:hAnsi="Rubik" w:cs="Rubik"/>
          <w:b/>
          <w:bCs/>
          <w:sz w:val="22"/>
          <w:szCs w:val="22"/>
        </w:rPr>
        <w:t>s</w:t>
      </w:r>
      <w:r w:rsidRPr="00FF12D5">
        <w:rPr>
          <w:rFonts w:ascii="Rubik" w:hAnsi="Rubik" w:cs="Rubik"/>
          <w:b/>
          <w:bCs/>
          <w:sz w:val="22"/>
          <w:szCs w:val="22"/>
        </w:rPr>
        <w:t>tudi di Bergamo</w:t>
      </w:r>
      <w:r w:rsidRPr="00FF12D5">
        <w:rPr>
          <w:rFonts w:ascii="Rubik" w:hAnsi="Rubik" w:cs="Rubik"/>
          <w:sz w:val="22"/>
          <w:szCs w:val="22"/>
        </w:rPr>
        <w:t xml:space="preserve">. Il bando è stato pubblicato martedì 20 giugno e </w:t>
      </w:r>
      <w:r w:rsidRPr="00FF12D5">
        <w:rPr>
          <w:rFonts w:ascii="Rubik" w:hAnsi="Rubik" w:cs="Rubik"/>
          <w:b/>
          <w:bCs/>
          <w:sz w:val="22"/>
          <w:szCs w:val="22"/>
        </w:rPr>
        <w:t>scadrà il 25 agosto 2023</w:t>
      </w:r>
      <w:r w:rsidRPr="00FF12D5">
        <w:rPr>
          <w:rFonts w:ascii="Rubik" w:hAnsi="Rubik" w:cs="Rubik"/>
          <w:sz w:val="22"/>
          <w:szCs w:val="22"/>
        </w:rPr>
        <w:t xml:space="preserve">. I candidati potranno concorrere per un massimo di tre temi di ricerca tra quelli proposti all’interno di un medesimo Corso di dottorato (le indicazioni dettagliate al link </w:t>
      </w:r>
      <w:hyperlink r:id="rId9" w:history="1">
        <w:r w:rsidRPr="00FF12D5">
          <w:rPr>
            <w:rStyle w:val="Collegamentoipertestuale"/>
            <w:rFonts w:ascii="Rubik" w:hAnsi="Rubik" w:cs="Rubik"/>
            <w:sz w:val="22"/>
            <w:szCs w:val="22"/>
          </w:rPr>
          <w:t>https://www.unibg.it/ricerca/lavorare-ricerca/dottorati-ricerca/universita-e-imprese/dottorati-innovativi-xxxix-ciclo</w:t>
        </w:r>
      </w:hyperlink>
      <w:r w:rsidRPr="00FF12D5">
        <w:rPr>
          <w:rFonts w:ascii="Rubik" w:hAnsi="Rubik" w:cs="Rubik"/>
          <w:sz w:val="22"/>
          <w:szCs w:val="22"/>
        </w:rPr>
        <w:t xml:space="preserve">). </w:t>
      </w:r>
    </w:p>
    <w:p w14:paraId="1CDD62BC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7C08E1CD" w14:textId="100A02BA" w:rsidR="00B8103A" w:rsidRPr="00FF12D5" w:rsidRDefault="00785440" w:rsidP="00B8103A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Questi i </w:t>
      </w:r>
      <w:r w:rsidR="00256742" w:rsidRPr="00FF12D5">
        <w:rPr>
          <w:rFonts w:ascii="Rubik" w:hAnsi="Rubik" w:cs="Rubik"/>
          <w:b/>
          <w:bCs/>
          <w:sz w:val="22"/>
          <w:szCs w:val="22"/>
        </w:rPr>
        <w:t>temi di ricerca</w:t>
      </w:r>
      <w:r w:rsidRPr="00FF12D5">
        <w:rPr>
          <w:rFonts w:ascii="Rubik" w:hAnsi="Rubik" w:cs="Rubik"/>
          <w:sz w:val="22"/>
          <w:szCs w:val="22"/>
        </w:rPr>
        <w:t xml:space="preserve"> delle borse finanziate</w:t>
      </w:r>
      <w:r w:rsidR="00256742" w:rsidRPr="00FF12D5">
        <w:rPr>
          <w:rFonts w:ascii="Rubik" w:hAnsi="Rubik" w:cs="Rubik"/>
          <w:sz w:val="22"/>
          <w:szCs w:val="22"/>
        </w:rPr>
        <w:t xml:space="preserve">: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Salute e longevità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B54D30" w:rsidRPr="00FF12D5">
        <w:rPr>
          <w:rFonts w:ascii="Rubik" w:hAnsi="Rubik" w:cs="Rubik"/>
          <w:sz w:val="22"/>
          <w:szCs w:val="22"/>
        </w:rPr>
        <w:t>p</w:t>
      </w:r>
      <w:r w:rsidR="00B8103A" w:rsidRPr="00FF12D5">
        <w:rPr>
          <w:rFonts w:ascii="Rubik" w:hAnsi="Rubik" w:cs="Rubik"/>
          <w:sz w:val="22"/>
          <w:szCs w:val="22"/>
        </w:rPr>
        <w:t xml:space="preserve">rogettazione e ottimizzazione dei processi e delle tecnologie per la produzione di emocomponenti),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Ingegneria e scienze applicate</w:t>
      </w:r>
      <w:r w:rsidR="00B8103A" w:rsidRPr="00FF12D5">
        <w:rPr>
          <w:rFonts w:ascii="Rubik" w:hAnsi="Rubik" w:cs="Rubik"/>
          <w:sz w:val="22"/>
          <w:szCs w:val="22"/>
        </w:rPr>
        <w:t xml:space="preserve"> (dalla transizione verde nell’ambito produttivo e costruttivo, ai materiali ecosostenibili innovativi, all’ergonomia cognitiva e Industria 5.0),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Ingegneria gestionale e della produzione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DC6FC9" w:rsidRPr="00FF12D5">
        <w:rPr>
          <w:rFonts w:ascii="Rubik" w:hAnsi="Rubik" w:cs="Rubik"/>
          <w:sz w:val="22"/>
          <w:szCs w:val="22"/>
        </w:rPr>
        <w:t>dalla gestione degli asset industriali</w:t>
      </w:r>
      <w:r w:rsidR="00B54D30" w:rsidRPr="00FF12D5">
        <w:rPr>
          <w:rFonts w:ascii="Rubik" w:hAnsi="Rubik" w:cs="Rubik"/>
          <w:sz w:val="22"/>
          <w:szCs w:val="22"/>
        </w:rPr>
        <w:t>,</w:t>
      </w:r>
      <w:r w:rsidR="00DC6FC9" w:rsidRPr="00FF12D5">
        <w:rPr>
          <w:rFonts w:ascii="Rubik" w:hAnsi="Rubik" w:cs="Rubik"/>
          <w:sz w:val="22"/>
          <w:szCs w:val="22"/>
        </w:rPr>
        <w:t xml:space="preserve"> all’ottimizzazione dei processi di lavorazione, all’analisi del benessere degli operatori, al processo di </w:t>
      </w:r>
      <w:proofErr w:type="spellStart"/>
      <w:r w:rsidR="00DC6FC9" w:rsidRPr="00FF12D5">
        <w:rPr>
          <w:rFonts w:ascii="Rubik" w:hAnsi="Rubik" w:cs="Rubik"/>
          <w:sz w:val="22"/>
          <w:szCs w:val="22"/>
        </w:rPr>
        <w:t>servitizzazione</w:t>
      </w:r>
      <w:proofErr w:type="spellEnd"/>
      <w:r w:rsidR="00DC6FC9" w:rsidRPr="00FF12D5">
        <w:rPr>
          <w:rFonts w:ascii="Rubik" w:hAnsi="Rubik" w:cs="Rubik"/>
          <w:sz w:val="22"/>
          <w:szCs w:val="22"/>
        </w:rPr>
        <w:t xml:space="preserve"> delle PMI</w:t>
      </w:r>
      <w:r w:rsidR="00B8103A" w:rsidRPr="00FF12D5">
        <w:rPr>
          <w:rFonts w:ascii="Rubik" w:hAnsi="Rubik" w:cs="Rubik"/>
          <w:sz w:val="22"/>
          <w:szCs w:val="22"/>
        </w:rPr>
        <w:t xml:space="preserve">, fino alle applicazioni dell’intelligenza artificiale) e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Management Accounting and Finance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DC6FC9" w:rsidRPr="00FF12D5">
        <w:rPr>
          <w:rFonts w:ascii="Rubik" w:hAnsi="Rubik" w:cs="Rubik"/>
          <w:sz w:val="22"/>
          <w:szCs w:val="22"/>
        </w:rPr>
        <w:t xml:space="preserve">dall’analisi dei grado di digitalizzazione </w:t>
      </w:r>
      <w:r w:rsidR="00B54D30" w:rsidRPr="00FF12D5">
        <w:rPr>
          <w:rFonts w:ascii="Rubik" w:hAnsi="Rubik" w:cs="Rubik"/>
          <w:sz w:val="22"/>
          <w:szCs w:val="22"/>
        </w:rPr>
        <w:t xml:space="preserve">del sistema </w:t>
      </w:r>
      <w:r w:rsidR="00B54D30" w:rsidRPr="00FF12D5">
        <w:rPr>
          <w:rFonts w:ascii="Rubik" w:hAnsi="Rubik" w:cs="Rubik"/>
          <w:sz w:val="22"/>
          <w:szCs w:val="22"/>
        </w:rPr>
        <w:lastRenderedPageBreak/>
        <w:t>manifatturiero, ai nuovi modelli di governance e organizzativi fino ai principi ESG</w:t>
      </w:r>
      <w:r w:rsidR="00B8103A" w:rsidRPr="00FF12D5">
        <w:rPr>
          <w:rFonts w:ascii="Rubik" w:hAnsi="Rubik" w:cs="Rubik"/>
          <w:sz w:val="22"/>
          <w:szCs w:val="22"/>
        </w:rPr>
        <w:t xml:space="preserve">), </w:t>
      </w:r>
      <w:r w:rsidR="00B54D30" w:rsidRPr="00FF12D5">
        <w:rPr>
          <w:rFonts w:ascii="Rubik" w:hAnsi="Rubik" w:cs="Rubik"/>
          <w:b/>
          <w:bCs/>
          <w:sz w:val="22"/>
          <w:szCs w:val="22"/>
        </w:rPr>
        <w:t>Scienze giuridiche</w:t>
      </w:r>
      <w:r w:rsidR="00B54D30" w:rsidRPr="00FF12D5">
        <w:rPr>
          <w:rFonts w:ascii="Rubik" w:hAnsi="Rubik" w:cs="Rubik"/>
          <w:sz w:val="22"/>
          <w:szCs w:val="22"/>
        </w:rPr>
        <w:t xml:space="preserve"> (dalla gestione della crisi di imprese alle iniziative di interesse sociale) e </w:t>
      </w:r>
      <w:r w:rsidR="00B54D30" w:rsidRPr="00FF12D5">
        <w:rPr>
          <w:rFonts w:ascii="Rubik" w:hAnsi="Rubik" w:cs="Rubik"/>
          <w:b/>
          <w:bCs/>
          <w:sz w:val="22"/>
          <w:szCs w:val="22"/>
        </w:rPr>
        <w:t>Scienze della persona e nuovo welfare</w:t>
      </w:r>
      <w:r w:rsidR="00B54D30" w:rsidRPr="00FF12D5">
        <w:rPr>
          <w:rFonts w:ascii="Rubik" w:hAnsi="Rubik" w:cs="Rubik"/>
          <w:sz w:val="22"/>
          <w:szCs w:val="22"/>
        </w:rPr>
        <w:t xml:space="preserve"> (Network </w:t>
      </w:r>
      <w:proofErr w:type="spellStart"/>
      <w:r w:rsidR="00B54D30" w:rsidRPr="00FF12D5">
        <w:rPr>
          <w:rFonts w:ascii="Rubik" w:hAnsi="Rubik" w:cs="Rubik"/>
          <w:sz w:val="22"/>
          <w:szCs w:val="22"/>
        </w:rPr>
        <w:t>interorganizzativi</w:t>
      </w:r>
      <w:proofErr w:type="spellEnd"/>
      <w:r w:rsidR="00B54D30" w:rsidRPr="00FF12D5">
        <w:rPr>
          <w:rFonts w:ascii="Rubik" w:hAnsi="Rubik" w:cs="Rubik"/>
          <w:sz w:val="22"/>
          <w:szCs w:val="22"/>
        </w:rPr>
        <w:t xml:space="preserve"> per il contrasto alla povertà). </w:t>
      </w:r>
      <w:r w:rsidR="00B8103A" w:rsidRPr="00FF12D5">
        <w:rPr>
          <w:rFonts w:ascii="Rubik" w:hAnsi="Rubik" w:cs="Rubik"/>
          <w:sz w:val="22"/>
          <w:szCs w:val="22"/>
        </w:rPr>
        <w:t>solo per citare alcune delle opportunità. Tutti i temi di ricerca completi sono consultabili sul sito dell’Università degli studi di Bergamo.</w:t>
      </w:r>
    </w:p>
    <w:p w14:paraId="43383361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28E32F56" w14:textId="31511903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Il più alto grado d’istruzione previsto dall’ordinamento accademico italiano, un percorso formativo che apre le porte allo scambio culturale con altri Paesi e opportunità di carriera sia nel privato, sia nel pubblico (il titolo di Dottore di ricerca dà diritto a punti nei concorsi): sono solo alcune delle caratteristiche che rendono i dottorati innovativi </w:t>
      </w:r>
      <w:r w:rsidRPr="00FF12D5">
        <w:rPr>
          <w:rFonts w:ascii="Rubik" w:hAnsi="Rubik" w:cs="Rubik"/>
          <w:b/>
          <w:bCs/>
          <w:sz w:val="22"/>
          <w:szCs w:val="22"/>
        </w:rPr>
        <w:t>un’opportunità concreta per i giovani ricercatori</w:t>
      </w:r>
      <w:r w:rsidRPr="00FF12D5">
        <w:rPr>
          <w:rFonts w:ascii="Rubik" w:hAnsi="Rubik" w:cs="Rubik"/>
          <w:sz w:val="22"/>
          <w:szCs w:val="22"/>
        </w:rPr>
        <w:t xml:space="preserve">. Un dottorato innovativo all’Università di Bergamo ha inoltre il valore aggiunto di collocarsi in una realtà come quella bergamasca, con un </w:t>
      </w:r>
      <w:r w:rsidRPr="00FF12D5">
        <w:rPr>
          <w:rFonts w:ascii="Rubik" w:hAnsi="Rubik" w:cs="Rubik"/>
          <w:b/>
          <w:bCs/>
          <w:sz w:val="22"/>
          <w:szCs w:val="22"/>
        </w:rPr>
        <w:t>tasso di disoccupazione tra i più bassi d’Italia</w:t>
      </w:r>
      <w:r w:rsidRPr="00FF12D5">
        <w:rPr>
          <w:rFonts w:ascii="Rubik" w:hAnsi="Rubik" w:cs="Rubik"/>
          <w:sz w:val="22"/>
          <w:szCs w:val="22"/>
        </w:rPr>
        <w:t xml:space="preserve"> (3,4%), un </w:t>
      </w:r>
      <w:r w:rsidRPr="00FF12D5">
        <w:rPr>
          <w:rFonts w:ascii="Rubik" w:hAnsi="Rubik" w:cs="Rubik"/>
          <w:b/>
          <w:bCs/>
          <w:sz w:val="22"/>
          <w:szCs w:val="22"/>
        </w:rPr>
        <w:t>territorio ad alta vocazione industriale</w:t>
      </w:r>
      <w:r w:rsidRPr="00FF12D5">
        <w:rPr>
          <w:rFonts w:ascii="Rubik" w:hAnsi="Rubik" w:cs="Rubik"/>
          <w:sz w:val="22"/>
          <w:szCs w:val="22"/>
        </w:rPr>
        <w:t xml:space="preserve"> (39,2%) superiore di oltre 10 punti percentuali alla media europea, e nella </w:t>
      </w:r>
      <w:r w:rsidRPr="00FF12D5">
        <w:rPr>
          <w:rFonts w:ascii="Rubik" w:hAnsi="Rubik" w:cs="Rubik"/>
          <w:b/>
          <w:bCs/>
          <w:sz w:val="22"/>
          <w:szCs w:val="22"/>
        </w:rPr>
        <w:t>quinta provincia italiana per export</w:t>
      </w:r>
      <w:r w:rsidRPr="00FF12D5">
        <w:rPr>
          <w:rFonts w:ascii="Rubik" w:hAnsi="Rubik" w:cs="Rubik"/>
          <w:sz w:val="22"/>
          <w:szCs w:val="22"/>
        </w:rPr>
        <w:t>, con oltre 20 miliardi di euro nel 2022.</w:t>
      </w:r>
    </w:p>
    <w:p w14:paraId="0F395711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2E9BAD77" w14:textId="3D593DBC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i/>
          <w:iCs/>
          <w:sz w:val="22"/>
          <w:szCs w:val="22"/>
        </w:rPr>
        <w:t>“I dottorati innovat</w:t>
      </w:r>
      <w:r w:rsidR="00BC7A7D" w:rsidRPr="00FF12D5">
        <w:rPr>
          <w:rFonts w:ascii="Rubik" w:hAnsi="Rubik" w:cs="Rubik"/>
          <w:i/>
          <w:iCs/>
          <w:sz w:val="22"/>
          <w:szCs w:val="22"/>
        </w:rPr>
        <w:t>iv</w:t>
      </w:r>
      <w:r w:rsidRPr="00FF12D5">
        <w:rPr>
          <w:rFonts w:ascii="Rubik" w:hAnsi="Rubik" w:cs="Rubik"/>
          <w:i/>
          <w:iCs/>
          <w:sz w:val="22"/>
          <w:szCs w:val="22"/>
        </w:rPr>
        <w:t>i rappresentano una grande opportunità di collaborazione, di crescita e innovazione per tutti gli attori che ne prendono parte. Innanzitutto per i laureati che possono entrare in azienda e al contempo continuare un percorso di crescita in termini di ricerca e perfezionamento, sviluppando pensiero critico e metodologia scientifica. Per le aziende, la possibilità di portare all’interno del loro organico figure già specializzate, ma che continuano a crescere e su cui investire, verso un’ulteriore specializzazione. Non ultimo, il binomio dottorando-azienda entra in contatto con un terzo attore che è l’Università, nell’ottica di una collaborazione continua, che può dare un grande contributo. L’università in questo modo ricopre un ruolo fondamentale di supporto alle aziende, ai dottorandi e ai loro progetti di ricerca”</w:t>
      </w:r>
      <w:r w:rsidRPr="00FF12D5">
        <w:rPr>
          <w:rFonts w:ascii="Rubik" w:hAnsi="Rubik" w:cs="Rubik"/>
          <w:sz w:val="22"/>
          <w:szCs w:val="22"/>
        </w:rPr>
        <w:t xml:space="preserve">, dichiara </w:t>
      </w:r>
      <w:r w:rsidRPr="00FF12D5">
        <w:rPr>
          <w:rFonts w:ascii="Rubik" w:hAnsi="Rubik" w:cs="Rubik"/>
          <w:b/>
          <w:bCs/>
          <w:sz w:val="22"/>
          <w:szCs w:val="22"/>
        </w:rPr>
        <w:t>Gianluca D’Urso</w:t>
      </w:r>
      <w:r w:rsidRPr="00FF12D5">
        <w:rPr>
          <w:rFonts w:ascii="Rubik" w:hAnsi="Rubik" w:cs="Rubik"/>
          <w:sz w:val="22"/>
          <w:szCs w:val="22"/>
        </w:rPr>
        <w:t xml:space="preserve">, professore ordinario del Dipartimento di Ingegneria </w:t>
      </w:r>
      <w:r w:rsidR="001A3A45" w:rsidRPr="00FF12D5">
        <w:rPr>
          <w:rFonts w:ascii="Rubik" w:hAnsi="Rubik" w:cs="Rubik"/>
          <w:sz w:val="22"/>
          <w:szCs w:val="22"/>
        </w:rPr>
        <w:t>g</w:t>
      </w:r>
      <w:r w:rsidRPr="00FF12D5">
        <w:rPr>
          <w:rFonts w:ascii="Rubik" w:hAnsi="Rubik" w:cs="Rubik"/>
          <w:sz w:val="22"/>
          <w:szCs w:val="22"/>
        </w:rPr>
        <w:t>estionale, dell'</w:t>
      </w:r>
      <w:r w:rsidR="001A3A45" w:rsidRPr="00FF12D5">
        <w:rPr>
          <w:rFonts w:ascii="Rubik" w:hAnsi="Rubik" w:cs="Rubik"/>
          <w:sz w:val="22"/>
          <w:szCs w:val="22"/>
        </w:rPr>
        <w:t>i</w:t>
      </w:r>
      <w:r w:rsidRPr="00FF12D5">
        <w:rPr>
          <w:rFonts w:ascii="Rubik" w:hAnsi="Rubik" w:cs="Rubik"/>
          <w:sz w:val="22"/>
          <w:szCs w:val="22"/>
        </w:rPr>
        <w:t xml:space="preserve">nformazione e della </w:t>
      </w:r>
      <w:r w:rsidR="001A3A45" w:rsidRPr="00FF12D5">
        <w:rPr>
          <w:rFonts w:ascii="Rubik" w:hAnsi="Rubik" w:cs="Rubik"/>
          <w:sz w:val="22"/>
          <w:szCs w:val="22"/>
        </w:rPr>
        <w:t>p</w:t>
      </w:r>
      <w:r w:rsidRPr="00FF12D5">
        <w:rPr>
          <w:rFonts w:ascii="Rubik" w:hAnsi="Rubik" w:cs="Rubik"/>
          <w:sz w:val="22"/>
          <w:szCs w:val="22"/>
        </w:rPr>
        <w:t xml:space="preserve">roduzione e delegato del rettore alla Ricerca </w:t>
      </w:r>
      <w:r w:rsidR="001A3A45" w:rsidRPr="00FF12D5">
        <w:rPr>
          <w:rFonts w:ascii="Rubik" w:hAnsi="Rubik" w:cs="Rubik"/>
          <w:sz w:val="22"/>
          <w:szCs w:val="22"/>
        </w:rPr>
        <w:t>a</w:t>
      </w:r>
      <w:r w:rsidRPr="00FF12D5">
        <w:rPr>
          <w:rFonts w:ascii="Rubik" w:hAnsi="Rubik" w:cs="Rubik"/>
          <w:sz w:val="22"/>
          <w:szCs w:val="22"/>
        </w:rPr>
        <w:t>pplicata.</w:t>
      </w:r>
    </w:p>
    <w:p w14:paraId="36225A54" w14:textId="77777777" w:rsidR="00426E6A" w:rsidRPr="00FF12D5" w:rsidRDefault="00426E6A" w:rsidP="00256742">
      <w:pPr>
        <w:jc w:val="both"/>
        <w:rPr>
          <w:rFonts w:ascii="Rubik" w:hAnsi="Rubik" w:cs="Rubik"/>
          <w:sz w:val="22"/>
          <w:szCs w:val="22"/>
        </w:rPr>
      </w:pPr>
    </w:p>
    <w:p w14:paraId="101E67C9" w14:textId="3D0BD6D0" w:rsidR="00424D5F" w:rsidRPr="00FF12D5" w:rsidRDefault="00424D5F" w:rsidP="00414613">
      <w:pPr>
        <w:jc w:val="both"/>
        <w:rPr>
          <w:rFonts w:ascii="Rubik" w:hAnsi="Rubik" w:cs="Rubik"/>
          <w:i/>
          <w:iCs/>
          <w:sz w:val="22"/>
          <w:szCs w:val="22"/>
        </w:rPr>
      </w:pPr>
      <w:r w:rsidRPr="00FF12D5">
        <w:rPr>
          <w:rFonts w:ascii="Rubik" w:hAnsi="Rubik" w:cs="Rubik"/>
          <w:b/>
          <w:bCs/>
          <w:color w:val="000000"/>
          <w:sz w:val="22"/>
          <w:szCs w:val="22"/>
        </w:rPr>
        <w:t>Giovanni Fassi</w:t>
      </w:r>
      <w:r w:rsidRPr="00FF12D5">
        <w:rPr>
          <w:rFonts w:ascii="Rubik" w:hAnsi="Rubik" w:cs="Rubik"/>
          <w:color w:val="000000"/>
          <w:sz w:val="22"/>
          <w:szCs w:val="22"/>
        </w:rPr>
        <w:t>,</w:t>
      </w:r>
      <w:r w:rsidRPr="00FF12D5">
        <w:rPr>
          <w:rFonts w:ascii="Rubik" w:hAnsi="Rubik" w:cs="Rubik"/>
          <w:i/>
          <w:iCs/>
          <w:color w:val="000000"/>
          <w:sz w:val="22"/>
          <w:szCs w:val="22"/>
        </w:rPr>
        <w:t xml:space="preserve"> </w:t>
      </w:r>
      <w:r w:rsidRPr="00FF12D5">
        <w:rPr>
          <w:rFonts w:ascii="Rubik" w:hAnsi="Rubik" w:cs="Rubik"/>
          <w:color w:val="000000"/>
          <w:sz w:val="22"/>
          <w:szCs w:val="22"/>
        </w:rPr>
        <w:t>Vice Presidente di Confindustria Bergamo per l’Innovazione</w:t>
      </w:r>
      <w:r w:rsidR="00E24970" w:rsidRPr="00FF12D5">
        <w:rPr>
          <w:rFonts w:ascii="Rubik" w:hAnsi="Rubik" w:cs="Rubik"/>
          <w:color w:val="000000"/>
          <w:sz w:val="22"/>
          <w:szCs w:val="22"/>
        </w:rPr>
        <w:t>,</w:t>
      </w:r>
      <w:r w:rsidRPr="00FF12D5">
        <w:rPr>
          <w:rFonts w:ascii="Rubik" w:hAnsi="Rubik" w:cs="Rubik"/>
          <w:color w:val="000000"/>
          <w:sz w:val="22"/>
          <w:szCs w:val="22"/>
        </w:rPr>
        <w:t xml:space="preserve"> sottolinea:</w:t>
      </w:r>
      <w:r w:rsidRPr="00FF12D5">
        <w:rPr>
          <w:rFonts w:ascii="Rubik" w:hAnsi="Rubik" w:cs="Rubik"/>
          <w:i/>
          <w:iCs/>
          <w:color w:val="000000"/>
          <w:sz w:val="22"/>
          <w:szCs w:val="22"/>
        </w:rPr>
        <w:t xml:space="preserve"> “</w:t>
      </w:r>
      <w:r w:rsidRPr="00FF12D5">
        <w:rPr>
          <w:rFonts w:ascii="Rubik" w:hAnsi="Rubik" w:cs="Rubik"/>
          <w:i/>
          <w:iCs/>
          <w:sz w:val="22"/>
          <w:szCs w:val="22"/>
        </w:rPr>
        <w:t>Crediamo fortemente in questa iniziativa che ci aiuta a portare da subito più innovazione nelle aziende, offrendo ai giovani laureati percorsi di crescita di grandissimo interesse. I Dottorati innovativi sono fondamentali per avvicinare il mondo della ricerca a quello industriale e dare sempre più concretezza all’ecosistema dell’innovazione partendo dalle esigenze delle aziende del territorio che mettono in luce i temi e i filoni prioritari. Grazie a  metodi, tecnologie e approcci mirati vengono poi sviluppate e implementate le tecnologie più adeguate e le migliori soluzioni. Nel contesto di grave carenza di risorse umane che sta sperimentando il nostro territorio, investire nei Dottorati rappresenta anche una scelta molto lungimirante per attrarre e fidelizzare giovani di talento in un’ottica a medio-lungo termine. Confindustria Bergamo, oltre a supportare l’università e le imprese, offrirà due borse di dottorato sui temi chiave della sostenibilità e dell’attrattività territoriale a cui si aggiungono anche due borse del Digital Innovation Hub Bergamo sui fabbisogni del territorio in tema digitalizzazione”.</w:t>
      </w:r>
    </w:p>
    <w:sectPr w:rsidR="00424D5F" w:rsidRPr="00FF12D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E8EA" w14:textId="77777777" w:rsidR="00095626" w:rsidRDefault="00095626">
      <w:r>
        <w:separator/>
      </w:r>
    </w:p>
  </w:endnote>
  <w:endnote w:type="continuationSeparator" w:id="0">
    <w:p w14:paraId="7B53C0A5" w14:textId="77777777" w:rsidR="00095626" w:rsidRDefault="0009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000000000000000"/>
    <w:charset w:val="00"/>
    <w:family w:val="auto"/>
    <w:pitch w:val="variable"/>
    <w:sig w:usb0="A0000A6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6465" w14:textId="77777777" w:rsidR="00095626" w:rsidRDefault="00095626">
      <w:r>
        <w:separator/>
      </w:r>
    </w:p>
  </w:footnote>
  <w:footnote w:type="continuationSeparator" w:id="0">
    <w:p w14:paraId="3C282F4F" w14:textId="77777777" w:rsidR="00095626" w:rsidRDefault="0009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5632"/>
    <w:rsid w:val="000D12C0"/>
    <w:rsid w:val="000D6C04"/>
    <w:rsid w:val="00102624"/>
    <w:rsid w:val="00103B96"/>
    <w:rsid w:val="00126FAB"/>
    <w:rsid w:val="00130B07"/>
    <w:rsid w:val="00135484"/>
    <w:rsid w:val="00160527"/>
    <w:rsid w:val="001611B8"/>
    <w:rsid w:val="00162F49"/>
    <w:rsid w:val="0017493A"/>
    <w:rsid w:val="00186E51"/>
    <w:rsid w:val="001A3A45"/>
    <w:rsid w:val="001C3D94"/>
    <w:rsid w:val="001D666A"/>
    <w:rsid w:val="00207010"/>
    <w:rsid w:val="002266D1"/>
    <w:rsid w:val="00245167"/>
    <w:rsid w:val="0025485F"/>
    <w:rsid w:val="00256742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2F2EFF"/>
    <w:rsid w:val="00317B14"/>
    <w:rsid w:val="003243D6"/>
    <w:rsid w:val="00334242"/>
    <w:rsid w:val="003605F2"/>
    <w:rsid w:val="00393E25"/>
    <w:rsid w:val="003A19A4"/>
    <w:rsid w:val="003C7E36"/>
    <w:rsid w:val="003F4AC0"/>
    <w:rsid w:val="00404C79"/>
    <w:rsid w:val="00412268"/>
    <w:rsid w:val="00414613"/>
    <w:rsid w:val="00424D5F"/>
    <w:rsid w:val="00426E6A"/>
    <w:rsid w:val="00447474"/>
    <w:rsid w:val="00491F41"/>
    <w:rsid w:val="004A5C2E"/>
    <w:rsid w:val="004C10B9"/>
    <w:rsid w:val="004C3806"/>
    <w:rsid w:val="004E7E4D"/>
    <w:rsid w:val="004F1235"/>
    <w:rsid w:val="004F485D"/>
    <w:rsid w:val="0051455E"/>
    <w:rsid w:val="0052417B"/>
    <w:rsid w:val="00575179"/>
    <w:rsid w:val="005762C2"/>
    <w:rsid w:val="0058734C"/>
    <w:rsid w:val="005B42D2"/>
    <w:rsid w:val="006048D4"/>
    <w:rsid w:val="00643C3F"/>
    <w:rsid w:val="006C1C00"/>
    <w:rsid w:val="006C372E"/>
    <w:rsid w:val="006C58F4"/>
    <w:rsid w:val="006F4D9F"/>
    <w:rsid w:val="007135A3"/>
    <w:rsid w:val="007247DB"/>
    <w:rsid w:val="00734E3E"/>
    <w:rsid w:val="00737D94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115F4"/>
    <w:rsid w:val="00943013"/>
    <w:rsid w:val="00953D7B"/>
    <w:rsid w:val="009C2DF4"/>
    <w:rsid w:val="009D536F"/>
    <w:rsid w:val="009E511D"/>
    <w:rsid w:val="009E79E9"/>
    <w:rsid w:val="009F5BC3"/>
    <w:rsid w:val="00A04FB3"/>
    <w:rsid w:val="00A23A14"/>
    <w:rsid w:val="00A61283"/>
    <w:rsid w:val="00A76F51"/>
    <w:rsid w:val="00A95869"/>
    <w:rsid w:val="00AA1DBF"/>
    <w:rsid w:val="00AC4C9E"/>
    <w:rsid w:val="00B11117"/>
    <w:rsid w:val="00B24BFD"/>
    <w:rsid w:val="00B303AF"/>
    <w:rsid w:val="00B54D30"/>
    <w:rsid w:val="00B624E0"/>
    <w:rsid w:val="00B8103A"/>
    <w:rsid w:val="00BC42D5"/>
    <w:rsid w:val="00BC7A7D"/>
    <w:rsid w:val="00C02775"/>
    <w:rsid w:val="00C740AF"/>
    <w:rsid w:val="00CA257E"/>
    <w:rsid w:val="00D0195F"/>
    <w:rsid w:val="00D126B7"/>
    <w:rsid w:val="00D249F2"/>
    <w:rsid w:val="00D269AB"/>
    <w:rsid w:val="00D34401"/>
    <w:rsid w:val="00DA2017"/>
    <w:rsid w:val="00DC6FC9"/>
    <w:rsid w:val="00E06571"/>
    <w:rsid w:val="00E12F07"/>
    <w:rsid w:val="00E138A5"/>
    <w:rsid w:val="00E233BF"/>
    <w:rsid w:val="00E24970"/>
    <w:rsid w:val="00E31F8B"/>
    <w:rsid w:val="00E35BD8"/>
    <w:rsid w:val="00E9359C"/>
    <w:rsid w:val="00E97B2F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ricerca/lavorare-ricerca/dottorati-ricerca/universita-e-imprese/dottorati-innovativi-xxxix-cicl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2023-06-21T15:51:00Z</dcterms:created>
  <dcterms:modified xsi:type="dcterms:W3CDTF">2023-06-22T08:31:00Z</dcterms:modified>
</cp:coreProperties>
</file>