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FD03" w14:textId="55A37278" w:rsidR="00DE6348" w:rsidRDefault="00DE6348"/>
    <w:p w14:paraId="028C730C" w14:textId="77777777" w:rsidR="001F2BA1" w:rsidRPr="001D4A5F" w:rsidRDefault="001F2BA1" w:rsidP="001F2BA1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 xml:space="preserve">COMUNICATO </w:t>
      </w:r>
      <w:r w:rsidRPr="001D4A5F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61264BA1" w14:textId="77777777" w:rsidR="001F2BA1" w:rsidRDefault="001F2BA1" w:rsidP="001F2BA1">
      <w:pPr>
        <w:rPr>
          <w:rFonts w:ascii="Rubik" w:hAnsi="Rubik" w:cs="Rubik"/>
          <w:b/>
          <w:bCs/>
          <w:color w:val="333333"/>
          <w:sz w:val="28"/>
          <w:szCs w:val="28"/>
          <w:shd w:val="clear" w:color="auto" w:fill="FFFFFF"/>
        </w:rPr>
      </w:pPr>
    </w:p>
    <w:p w14:paraId="15304924" w14:textId="77777777" w:rsidR="001F2BA1" w:rsidRDefault="001F2BA1" w:rsidP="001F2BA1">
      <w:pPr>
        <w:jc w:val="center"/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  <w:t>RAFFORZARE LE SINERGIE TRA I SISTEMI DI GIUSTIZIA,</w:t>
      </w:r>
    </w:p>
    <w:p w14:paraId="7872B8E6" w14:textId="77777777" w:rsidR="001F2BA1" w:rsidRDefault="001F2BA1" w:rsidP="001F2BA1">
      <w:pPr>
        <w:jc w:val="center"/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  <w:t xml:space="preserve">FORMAZIONE E RICERCA UNIVERSITARIA </w:t>
      </w:r>
    </w:p>
    <w:p w14:paraId="642C530D" w14:textId="77777777" w:rsidR="001F2BA1" w:rsidRDefault="001F2BA1" w:rsidP="001F2BA1">
      <w:pPr>
        <w:jc w:val="center"/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</w:pPr>
    </w:p>
    <w:p w14:paraId="137B1189" w14:textId="77777777" w:rsidR="001F2BA1" w:rsidRDefault="001F2BA1" w:rsidP="001F2BA1">
      <w:pPr>
        <w:jc w:val="center"/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  <w:t>UNIBG TRA I PRIMI ATENEI IN EUROPA A INTRODURRE UN CORSO COMPLETO SULLA PRATICA COLLABORATIVA NELL’OFFERTA FORMATIVA</w:t>
      </w:r>
    </w:p>
    <w:p w14:paraId="735C7940" w14:textId="77777777" w:rsidR="001F2BA1" w:rsidRPr="00655FC9" w:rsidRDefault="001F2BA1" w:rsidP="001F2BA1">
      <w:pPr>
        <w:rPr>
          <w:rFonts w:ascii="Rubik" w:hAnsi="Rubik" w:cs="Rubik"/>
          <w:b/>
          <w:bCs/>
          <w:color w:val="333333"/>
          <w:sz w:val="28"/>
          <w:szCs w:val="28"/>
          <w:shd w:val="clear" w:color="auto" w:fill="FFFFFF"/>
        </w:rPr>
      </w:pPr>
    </w:p>
    <w:p w14:paraId="3DA48D34" w14:textId="25A1E95A" w:rsidR="001F2BA1" w:rsidRDefault="001F2BA1" w:rsidP="001F2BA1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i/>
          <w:iCs/>
          <w:sz w:val="22"/>
          <w:szCs w:val="22"/>
        </w:rPr>
        <w:t>Bergamo</w:t>
      </w:r>
      <w:r w:rsidRPr="00B53239">
        <w:rPr>
          <w:rFonts w:ascii="Rubik" w:hAnsi="Rubik" w:cs="Rubik"/>
          <w:i/>
          <w:iCs/>
          <w:sz w:val="22"/>
          <w:szCs w:val="22"/>
        </w:rPr>
        <w:t xml:space="preserve">, </w:t>
      </w:r>
      <w:r w:rsidR="003D352F">
        <w:rPr>
          <w:rFonts w:ascii="Rubik" w:hAnsi="Rubik" w:cs="Rubik"/>
          <w:i/>
          <w:iCs/>
          <w:sz w:val="22"/>
          <w:szCs w:val="22"/>
        </w:rPr>
        <w:t xml:space="preserve">20 </w:t>
      </w:r>
      <w:r w:rsidRPr="00B53239">
        <w:rPr>
          <w:rFonts w:ascii="Rubik" w:hAnsi="Rubik" w:cs="Rubik"/>
          <w:i/>
          <w:iCs/>
          <w:sz w:val="22"/>
          <w:szCs w:val="22"/>
        </w:rPr>
        <w:t xml:space="preserve">luglio 2023 </w:t>
      </w:r>
      <w:r w:rsidRPr="00B53239">
        <w:rPr>
          <w:rFonts w:ascii="Rubik" w:hAnsi="Rubik" w:cs="Rubik"/>
          <w:sz w:val="22"/>
          <w:szCs w:val="22"/>
        </w:rPr>
        <w:t>–</w:t>
      </w:r>
      <w:r w:rsidRPr="00B53239">
        <w:rPr>
          <w:rFonts w:ascii="Rubik" w:hAnsi="Rubik" w:cs="Rubik"/>
          <w:b/>
          <w:bCs/>
          <w:sz w:val="22"/>
          <w:szCs w:val="22"/>
        </w:rPr>
        <w:t xml:space="preserve"> </w:t>
      </w:r>
      <w:r w:rsidRPr="00F23723">
        <w:rPr>
          <w:rFonts w:ascii="Rubik" w:hAnsi="Rubik" w:cs="Rubik"/>
          <w:sz w:val="22"/>
          <w:szCs w:val="22"/>
        </w:rPr>
        <w:t>L’Università d</w:t>
      </w:r>
      <w:r>
        <w:rPr>
          <w:rFonts w:ascii="Rubik" w:hAnsi="Rubik" w:cs="Rubik"/>
          <w:sz w:val="22"/>
          <w:szCs w:val="22"/>
        </w:rPr>
        <w:t>egli studi di</w:t>
      </w:r>
      <w:r w:rsidRPr="00F23723">
        <w:rPr>
          <w:rFonts w:ascii="Rubik" w:hAnsi="Rubik" w:cs="Rubik"/>
          <w:sz w:val="22"/>
          <w:szCs w:val="22"/>
        </w:rPr>
        <w:t xml:space="preserve"> Bergamo è </w:t>
      </w:r>
      <w:r w:rsidRPr="00D27946">
        <w:rPr>
          <w:rFonts w:ascii="Rubik" w:hAnsi="Rubik" w:cs="Rubik"/>
          <w:b/>
          <w:bCs/>
          <w:sz w:val="22"/>
          <w:szCs w:val="22"/>
        </w:rPr>
        <w:t>tra i primi atenei in Europa</w:t>
      </w:r>
      <w:r w:rsidRPr="00F23723">
        <w:rPr>
          <w:rFonts w:ascii="Rubik" w:hAnsi="Rubik" w:cs="Rubik"/>
          <w:sz w:val="22"/>
          <w:szCs w:val="22"/>
        </w:rPr>
        <w:t xml:space="preserve"> in cui la </w:t>
      </w:r>
      <w:r>
        <w:rPr>
          <w:rFonts w:ascii="Rubik" w:hAnsi="Rubik" w:cs="Rubik"/>
          <w:b/>
          <w:bCs/>
          <w:sz w:val="22"/>
          <w:szCs w:val="22"/>
        </w:rPr>
        <w:t>pr</w:t>
      </w:r>
      <w:r w:rsidRPr="00D27946">
        <w:rPr>
          <w:rFonts w:ascii="Rubik" w:hAnsi="Rubik" w:cs="Rubik"/>
          <w:b/>
          <w:bCs/>
          <w:sz w:val="22"/>
          <w:szCs w:val="22"/>
        </w:rPr>
        <w:t xml:space="preserve">atica </w:t>
      </w:r>
      <w:r>
        <w:rPr>
          <w:rFonts w:ascii="Rubik" w:hAnsi="Rubik" w:cs="Rubik"/>
          <w:b/>
          <w:bCs/>
          <w:sz w:val="22"/>
          <w:szCs w:val="22"/>
        </w:rPr>
        <w:t>c</w:t>
      </w:r>
      <w:r w:rsidRPr="00D27946">
        <w:rPr>
          <w:rFonts w:ascii="Rubik" w:hAnsi="Rubik" w:cs="Rubik"/>
          <w:b/>
          <w:bCs/>
          <w:sz w:val="22"/>
          <w:szCs w:val="22"/>
        </w:rPr>
        <w:t>ollaborativa</w:t>
      </w:r>
      <w:r w:rsidRPr="00F23723">
        <w:rPr>
          <w:rFonts w:ascii="Rubik" w:hAnsi="Rubik" w:cs="Rubik"/>
          <w:sz w:val="22"/>
          <w:szCs w:val="22"/>
        </w:rPr>
        <w:t xml:space="preserve"> fa ingresso </w:t>
      </w:r>
      <w:r w:rsidR="0020478C">
        <w:rPr>
          <w:rFonts w:ascii="Rubik" w:hAnsi="Rubik" w:cs="Rubik"/>
          <w:sz w:val="22"/>
          <w:szCs w:val="22"/>
        </w:rPr>
        <w:t xml:space="preserve">nell’offerta formativa </w:t>
      </w:r>
      <w:r w:rsidRPr="00F23723">
        <w:rPr>
          <w:rFonts w:ascii="Rubik" w:hAnsi="Rubik" w:cs="Rubik"/>
          <w:sz w:val="22"/>
          <w:szCs w:val="22"/>
        </w:rPr>
        <w:t>con un</w:t>
      </w:r>
      <w:r w:rsidRPr="00D27946">
        <w:rPr>
          <w:rFonts w:ascii="Rubik" w:hAnsi="Rubik" w:cs="Rubik"/>
          <w:b/>
          <w:bCs/>
          <w:sz w:val="22"/>
          <w:szCs w:val="22"/>
        </w:rPr>
        <w:t xml:space="preserve"> corso completo e interdisciplinare</w:t>
      </w:r>
      <w:r w:rsidRPr="00F23723">
        <w:rPr>
          <w:rFonts w:ascii="Rubik" w:hAnsi="Rubik" w:cs="Rubik"/>
          <w:sz w:val="22"/>
          <w:szCs w:val="22"/>
        </w:rPr>
        <w:t>:</w:t>
      </w:r>
      <w:r>
        <w:rPr>
          <w:rFonts w:ascii="Rubik" w:hAnsi="Rubik" w:cs="Rubik"/>
          <w:sz w:val="22"/>
          <w:szCs w:val="22"/>
        </w:rPr>
        <w:t xml:space="preserve"> i</w:t>
      </w:r>
      <w:r w:rsidRPr="00B53239">
        <w:rPr>
          <w:rFonts w:ascii="Rubik" w:hAnsi="Rubik" w:cs="Rubik"/>
          <w:sz w:val="22"/>
          <w:szCs w:val="22"/>
        </w:rPr>
        <w:t xml:space="preserve">l </w:t>
      </w:r>
      <w:r w:rsidRPr="00F23723">
        <w:rPr>
          <w:rFonts w:ascii="Rubik" w:hAnsi="Rubik" w:cs="Rubik"/>
          <w:sz w:val="22"/>
          <w:szCs w:val="22"/>
        </w:rPr>
        <w:t xml:space="preserve">Dipartimento di Giurisprudenza </w:t>
      </w:r>
      <w:r>
        <w:rPr>
          <w:rFonts w:ascii="Rubik" w:hAnsi="Rubik" w:cs="Rubik"/>
          <w:sz w:val="22"/>
          <w:szCs w:val="22"/>
        </w:rPr>
        <w:t>di UniBg, infatti,</w:t>
      </w:r>
      <w:r w:rsidRPr="00F23723">
        <w:rPr>
          <w:rFonts w:ascii="Rubik" w:hAnsi="Rubik" w:cs="Rubik"/>
          <w:sz w:val="22"/>
          <w:szCs w:val="22"/>
        </w:rPr>
        <w:t xml:space="preserve"> ha introdotto </w:t>
      </w:r>
      <w:r>
        <w:rPr>
          <w:rFonts w:ascii="Rubik" w:hAnsi="Rubik" w:cs="Rubik"/>
          <w:sz w:val="22"/>
          <w:szCs w:val="22"/>
        </w:rPr>
        <w:t>nell’</w:t>
      </w:r>
      <w:r w:rsidRPr="00F23723">
        <w:rPr>
          <w:rFonts w:ascii="Rubik" w:hAnsi="Rubik" w:cs="Rubik"/>
          <w:sz w:val="22"/>
          <w:szCs w:val="22"/>
        </w:rPr>
        <w:t>anno accademico</w:t>
      </w:r>
      <w:r>
        <w:rPr>
          <w:rFonts w:ascii="Rubik" w:hAnsi="Rubik" w:cs="Rubik"/>
          <w:sz w:val="22"/>
          <w:szCs w:val="22"/>
        </w:rPr>
        <w:t xml:space="preserve"> 2022-2023</w:t>
      </w:r>
      <w:r w:rsidRPr="00F23723">
        <w:rPr>
          <w:rFonts w:ascii="Rubik" w:hAnsi="Rubik" w:cs="Rubik"/>
          <w:sz w:val="22"/>
          <w:szCs w:val="22"/>
        </w:rPr>
        <w:t xml:space="preserve"> il </w:t>
      </w:r>
      <w:r>
        <w:rPr>
          <w:rFonts w:ascii="Rubik" w:hAnsi="Rubik" w:cs="Rubik"/>
          <w:b/>
          <w:bCs/>
          <w:sz w:val="22"/>
          <w:szCs w:val="22"/>
        </w:rPr>
        <w:t>l</w:t>
      </w:r>
      <w:r w:rsidRPr="00F23723">
        <w:rPr>
          <w:rFonts w:ascii="Rubik" w:hAnsi="Rubik" w:cs="Rubik"/>
          <w:b/>
          <w:bCs/>
          <w:sz w:val="22"/>
          <w:szCs w:val="22"/>
        </w:rPr>
        <w:t>aboratorio di didattica innovativa</w:t>
      </w:r>
      <w:r w:rsidRPr="00F23723">
        <w:rPr>
          <w:rFonts w:ascii="Rubik" w:hAnsi="Rubik" w:cs="Rubik"/>
          <w:sz w:val="22"/>
          <w:szCs w:val="22"/>
        </w:rPr>
        <w:t xml:space="preserve"> </w:t>
      </w:r>
      <w:r w:rsidRPr="00F23723">
        <w:rPr>
          <w:rFonts w:ascii="Rubik" w:hAnsi="Rubik" w:cs="Rubik"/>
          <w:b/>
          <w:bCs/>
          <w:i/>
          <w:iCs/>
          <w:sz w:val="22"/>
          <w:szCs w:val="22"/>
        </w:rPr>
        <w:t>“I metodi di risoluzione complementari delle controversie in materia di famiglia e pratica collaborativa”</w:t>
      </w:r>
      <w:r>
        <w:rPr>
          <w:rFonts w:ascii="Rubik" w:hAnsi="Rubik" w:cs="Rubik"/>
          <w:sz w:val="22"/>
          <w:szCs w:val="22"/>
        </w:rPr>
        <w:t xml:space="preserve">. </w:t>
      </w:r>
    </w:p>
    <w:p w14:paraId="6CC9CE97" w14:textId="77777777" w:rsidR="001F2BA1" w:rsidRDefault="001F2BA1" w:rsidP="001F2BA1">
      <w:pPr>
        <w:jc w:val="both"/>
        <w:rPr>
          <w:rFonts w:ascii="Rubik" w:hAnsi="Rubik" w:cs="Rubik"/>
          <w:sz w:val="22"/>
          <w:szCs w:val="22"/>
        </w:rPr>
      </w:pPr>
    </w:p>
    <w:p w14:paraId="15077ABB" w14:textId="77777777" w:rsidR="001F2BA1" w:rsidRDefault="001F2BA1" w:rsidP="001F2BA1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A</w:t>
      </w:r>
      <w:r w:rsidRPr="00F23723">
        <w:rPr>
          <w:rFonts w:ascii="Rubik" w:hAnsi="Rubik" w:cs="Rubik"/>
          <w:sz w:val="22"/>
          <w:szCs w:val="22"/>
        </w:rPr>
        <w:t xml:space="preserve">l </w:t>
      </w:r>
      <w:r>
        <w:rPr>
          <w:rFonts w:ascii="Rubik" w:hAnsi="Rubik" w:cs="Rubik"/>
          <w:sz w:val="22"/>
          <w:szCs w:val="22"/>
        </w:rPr>
        <w:t>p</w:t>
      </w:r>
      <w:r w:rsidRPr="00F23723">
        <w:rPr>
          <w:rFonts w:ascii="Rubik" w:hAnsi="Rubik" w:cs="Rubik"/>
          <w:sz w:val="22"/>
          <w:szCs w:val="22"/>
        </w:rPr>
        <w:t>rogetto</w:t>
      </w:r>
      <w:r>
        <w:rPr>
          <w:rFonts w:ascii="Rubik" w:hAnsi="Rubik" w:cs="Rubik"/>
          <w:sz w:val="22"/>
          <w:szCs w:val="22"/>
        </w:rPr>
        <w:t>, che</w:t>
      </w:r>
      <w:r w:rsidRPr="00F23723">
        <w:rPr>
          <w:rFonts w:ascii="Rubik" w:hAnsi="Rubik" w:cs="Rubik"/>
          <w:sz w:val="22"/>
          <w:szCs w:val="22"/>
        </w:rPr>
        <w:t xml:space="preserve"> si colloca nell’ambito del </w:t>
      </w:r>
      <w:r w:rsidRPr="00F23723">
        <w:rPr>
          <w:rFonts w:ascii="Rubik" w:hAnsi="Rubik" w:cs="Rubik"/>
          <w:i/>
          <w:iCs/>
          <w:sz w:val="22"/>
          <w:szCs w:val="22"/>
        </w:rPr>
        <w:t>“PON Nuovi schemi collaborativi tra Università e uffici giudiziari per il miglioramento dell’efficienza e delle Prestazioni della giustizia nell’Italia del nord-ovest”</w:t>
      </w:r>
      <w:r>
        <w:rPr>
          <w:rFonts w:ascii="Rubik" w:hAnsi="Rubik" w:cs="Rubik"/>
          <w:sz w:val="22"/>
          <w:szCs w:val="22"/>
        </w:rPr>
        <w:t xml:space="preserve"> e che ha come </w:t>
      </w:r>
      <w:r w:rsidRPr="00F23723">
        <w:rPr>
          <w:rFonts w:ascii="Rubik" w:hAnsi="Rubik" w:cs="Rubik"/>
          <w:sz w:val="22"/>
          <w:szCs w:val="22"/>
        </w:rPr>
        <w:t xml:space="preserve">capofila </w:t>
      </w:r>
      <w:r>
        <w:rPr>
          <w:rFonts w:ascii="Rubik" w:hAnsi="Rubik" w:cs="Rubik"/>
          <w:sz w:val="22"/>
          <w:szCs w:val="22"/>
        </w:rPr>
        <w:t>l’</w:t>
      </w:r>
      <w:r w:rsidRPr="00F23723">
        <w:rPr>
          <w:rFonts w:ascii="Rubik" w:hAnsi="Rubik" w:cs="Rubik"/>
          <w:b/>
          <w:bCs/>
          <w:sz w:val="22"/>
          <w:szCs w:val="22"/>
        </w:rPr>
        <w:t>Università di Torino</w:t>
      </w:r>
      <w:r w:rsidRPr="00F23723">
        <w:rPr>
          <w:rFonts w:ascii="Rubik" w:hAnsi="Rubik" w:cs="Rubik"/>
          <w:sz w:val="22"/>
          <w:szCs w:val="22"/>
        </w:rPr>
        <w:t xml:space="preserve">, </w:t>
      </w:r>
      <w:r>
        <w:rPr>
          <w:rFonts w:ascii="Rubik" w:hAnsi="Rubik" w:cs="Rubik"/>
          <w:sz w:val="22"/>
          <w:szCs w:val="22"/>
        </w:rPr>
        <w:t xml:space="preserve">partecipa </w:t>
      </w:r>
      <w:r w:rsidRPr="00F23723">
        <w:rPr>
          <w:rFonts w:ascii="Rubik" w:hAnsi="Rubik" w:cs="Rubik"/>
          <w:sz w:val="22"/>
          <w:szCs w:val="22"/>
        </w:rPr>
        <w:t xml:space="preserve">un </w:t>
      </w:r>
      <w:r w:rsidRPr="00D27946">
        <w:rPr>
          <w:rFonts w:ascii="Rubik" w:hAnsi="Rubik" w:cs="Rubik"/>
          <w:b/>
          <w:bCs/>
          <w:sz w:val="22"/>
          <w:szCs w:val="22"/>
        </w:rPr>
        <w:t>team multidisciplinare dell’ateneo orobico</w:t>
      </w:r>
      <w:r w:rsidRPr="00F23723">
        <w:rPr>
          <w:rFonts w:ascii="Rubik" w:hAnsi="Rubik" w:cs="Rubik"/>
          <w:sz w:val="22"/>
          <w:szCs w:val="22"/>
        </w:rPr>
        <w:t xml:space="preserve"> formato da </w:t>
      </w:r>
      <w:r w:rsidRPr="00D27946">
        <w:rPr>
          <w:rFonts w:ascii="Rubik" w:hAnsi="Rubik" w:cs="Rubik"/>
          <w:b/>
          <w:bCs/>
          <w:sz w:val="22"/>
          <w:szCs w:val="22"/>
        </w:rPr>
        <w:t>giuristi, informatici ed ingegneri gestionali</w:t>
      </w:r>
      <w:r w:rsidRPr="00F23723">
        <w:rPr>
          <w:rFonts w:ascii="Rubik" w:hAnsi="Rubik" w:cs="Rubik"/>
          <w:sz w:val="22"/>
          <w:szCs w:val="22"/>
        </w:rPr>
        <w:t xml:space="preserve">, coordinato dalla </w:t>
      </w:r>
      <w:r w:rsidRPr="00D27946">
        <w:rPr>
          <w:rFonts w:ascii="Rubik" w:hAnsi="Rubik" w:cs="Rubik"/>
          <w:b/>
          <w:bCs/>
          <w:sz w:val="22"/>
          <w:szCs w:val="22"/>
        </w:rPr>
        <w:t>prof.ssa Elisabetta Bani</w:t>
      </w:r>
      <w:r w:rsidRPr="00F23723">
        <w:rPr>
          <w:rFonts w:ascii="Rubik" w:hAnsi="Rubik" w:cs="Rubik"/>
          <w:sz w:val="22"/>
          <w:szCs w:val="22"/>
        </w:rPr>
        <w:t xml:space="preserve">, Docente di Diritto dell'economia e Prorettrice alla Terza Missione e ai Rapporti con il territorio. Il </w:t>
      </w:r>
      <w:r>
        <w:rPr>
          <w:rFonts w:ascii="Rubik" w:hAnsi="Rubik" w:cs="Rubik"/>
          <w:sz w:val="22"/>
          <w:szCs w:val="22"/>
        </w:rPr>
        <w:t>p</w:t>
      </w:r>
      <w:r w:rsidRPr="00F23723">
        <w:rPr>
          <w:rFonts w:ascii="Rubik" w:hAnsi="Rubik" w:cs="Rubik"/>
          <w:sz w:val="22"/>
          <w:szCs w:val="22"/>
        </w:rPr>
        <w:t xml:space="preserve">rogetto è realizzato e coordinato dalla </w:t>
      </w:r>
      <w:r w:rsidRPr="00D27946">
        <w:rPr>
          <w:rFonts w:ascii="Rubik" w:hAnsi="Rubik" w:cs="Rubik"/>
          <w:b/>
          <w:bCs/>
          <w:sz w:val="22"/>
          <w:szCs w:val="22"/>
        </w:rPr>
        <w:t>prof.ssa Daniela D’Adamo</w:t>
      </w:r>
      <w:r w:rsidRPr="00F23723">
        <w:rPr>
          <w:rFonts w:ascii="Rubik" w:hAnsi="Rubik" w:cs="Rubik"/>
          <w:sz w:val="22"/>
          <w:szCs w:val="22"/>
        </w:rPr>
        <w:t xml:space="preserve">, Docente di Diritto processuale civile avanzato della Laurea magistrale a ciclo unico in Giurisprudenza, in collaborazione con l’insegnamento di Diritto di Famiglia, affidato alla </w:t>
      </w:r>
      <w:r w:rsidRPr="00D27946">
        <w:rPr>
          <w:rFonts w:ascii="Rubik" w:hAnsi="Rubik" w:cs="Rubik"/>
          <w:b/>
          <w:bCs/>
          <w:sz w:val="22"/>
          <w:szCs w:val="22"/>
        </w:rPr>
        <w:t>prof.ssa Francesca Cerea</w:t>
      </w:r>
      <w:r>
        <w:rPr>
          <w:rFonts w:ascii="Rubik" w:hAnsi="Rubik" w:cs="Rubik"/>
          <w:sz w:val="22"/>
          <w:szCs w:val="22"/>
        </w:rPr>
        <w:t>.</w:t>
      </w:r>
    </w:p>
    <w:p w14:paraId="5AFC25C8" w14:textId="77777777" w:rsidR="001F2BA1" w:rsidRDefault="001F2BA1" w:rsidP="001F2BA1">
      <w:pPr>
        <w:jc w:val="both"/>
        <w:rPr>
          <w:rFonts w:ascii="Rubik" w:hAnsi="Rubik" w:cs="Rubik"/>
          <w:sz w:val="22"/>
          <w:szCs w:val="22"/>
        </w:rPr>
      </w:pPr>
    </w:p>
    <w:p w14:paraId="16425F4C" w14:textId="77777777" w:rsidR="001F2BA1" w:rsidRDefault="001F2BA1" w:rsidP="001F2BA1">
      <w:pPr>
        <w:jc w:val="both"/>
        <w:rPr>
          <w:rFonts w:ascii="Rubik" w:hAnsi="Rubik" w:cs="Rubik"/>
          <w:sz w:val="22"/>
          <w:szCs w:val="22"/>
        </w:rPr>
      </w:pPr>
      <w:r w:rsidRPr="00D27946">
        <w:rPr>
          <w:rFonts w:ascii="Rubik" w:hAnsi="Rubik" w:cs="Rubik"/>
          <w:b/>
          <w:bCs/>
          <w:sz w:val="22"/>
          <w:szCs w:val="22"/>
        </w:rPr>
        <w:t>Docenti referenti</w:t>
      </w:r>
      <w:r w:rsidRPr="00F23723">
        <w:rPr>
          <w:rFonts w:ascii="Rubik" w:hAnsi="Rubik" w:cs="Rubik"/>
          <w:sz w:val="22"/>
          <w:szCs w:val="22"/>
        </w:rPr>
        <w:t xml:space="preserve"> formati alla pratica collaborativa sono </w:t>
      </w:r>
      <w:r w:rsidRPr="00D27946">
        <w:rPr>
          <w:rFonts w:ascii="Rubik" w:hAnsi="Rubik" w:cs="Rubik"/>
          <w:b/>
          <w:bCs/>
          <w:sz w:val="22"/>
          <w:szCs w:val="22"/>
        </w:rPr>
        <w:t>Armando Cecatiello</w:t>
      </w:r>
      <w:r>
        <w:rPr>
          <w:rFonts w:ascii="Rubik" w:hAnsi="Rubik" w:cs="Rubik"/>
          <w:sz w:val="22"/>
          <w:szCs w:val="22"/>
        </w:rPr>
        <w:t>,</w:t>
      </w:r>
      <w:r w:rsidRPr="00F23723">
        <w:rPr>
          <w:rFonts w:ascii="Rubik" w:hAnsi="Rubik" w:cs="Rubik"/>
          <w:sz w:val="22"/>
          <w:szCs w:val="22"/>
        </w:rPr>
        <w:t xml:space="preserve"> avvocato familiarista formatore internazionale al metodo collaborativo, </w:t>
      </w:r>
      <w:r w:rsidRPr="00D27946">
        <w:rPr>
          <w:rFonts w:ascii="Rubik" w:hAnsi="Rubik" w:cs="Rubik"/>
          <w:b/>
          <w:bCs/>
          <w:sz w:val="22"/>
          <w:szCs w:val="22"/>
        </w:rPr>
        <w:t>Sabrina Ghezzi</w:t>
      </w:r>
      <w:r w:rsidRPr="00F23723">
        <w:rPr>
          <w:rFonts w:ascii="Rubik" w:hAnsi="Rubik" w:cs="Rubik"/>
          <w:sz w:val="22"/>
          <w:szCs w:val="22"/>
        </w:rPr>
        <w:t xml:space="preserve">, docente complementare alla cattedra di Diritto di Famiglia ed avvocato familiarista, coadiuvati da </w:t>
      </w:r>
      <w:r w:rsidRPr="00D27946">
        <w:rPr>
          <w:rFonts w:ascii="Rubik" w:hAnsi="Rubik" w:cs="Rubik"/>
          <w:b/>
          <w:bCs/>
          <w:sz w:val="22"/>
          <w:szCs w:val="22"/>
        </w:rPr>
        <w:t>Michele Agazzi</w:t>
      </w:r>
      <w:r w:rsidRPr="00F23723">
        <w:rPr>
          <w:rFonts w:ascii="Rubik" w:hAnsi="Rubik" w:cs="Rubik"/>
          <w:sz w:val="22"/>
          <w:szCs w:val="22"/>
        </w:rPr>
        <w:t xml:space="preserve">, avvocato e dottore in psicologia clinica ed esperto in comunicazione; partecipano al progetto formativo </w:t>
      </w:r>
      <w:r w:rsidRPr="00D27946">
        <w:rPr>
          <w:rFonts w:ascii="Rubik" w:hAnsi="Rubik" w:cs="Rubik"/>
          <w:b/>
          <w:bCs/>
          <w:sz w:val="22"/>
          <w:szCs w:val="22"/>
        </w:rPr>
        <w:t>Claudia Piccinelli</w:t>
      </w:r>
      <w:r w:rsidRPr="00F23723">
        <w:rPr>
          <w:rFonts w:ascii="Rubik" w:hAnsi="Rubik" w:cs="Rubik"/>
          <w:sz w:val="22"/>
          <w:szCs w:val="22"/>
        </w:rPr>
        <w:t xml:space="preserve">, psicologa-psicoterapeuta, mediatrice familiare e coordinatrice genitoriale, </w:t>
      </w:r>
      <w:r w:rsidRPr="00D27946">
        <w:rPr>
          <w:rFonts w:ascii="Rubik" w:hAnsi="Rubik" w:cs="Rubik"/>
          <w:b/>
          <w:bCs/>
          <w:sz w:val="22"/>
          <w:szCs w:val="22"/>
        </w:rPr>
        <w:t>Barbara Arbini</w:t>
      </w:r>
      <w:r w:rsidRPr="00F23723">
        <w:rPr>
          <w:rFonts w:ascii="Rubik" w:hAnsi="Rubik" w:cs="Rubik"/>
          <w:sz w:val="22"/>
          <w:szCs w:val="22"/>
        </w:rPr>
        <w:t xml:space="preserve">, commercialista ed esperta contabile e finanziaria, </w:t>
      </w:r>
      <w:r w:rsidRPr="00D27946">
        <w:rPr>
          <w:rFonts w:ascii="Rubik" w:hAnsi="Rubik" w:cs="Rubik"/>
          <w:b/>
          <w:bCs/>
          <w:sz w:val="22"/>
          <w:szCs w:val="22"/>
        </w:rPr>
        <w:t>Barbara Carsana</w:t>
      </w:r>
      <w:r w:rsidRPr="00F23723">
        <w:rPr>
          <w:rFonts w:ascii="Rubik" w:hAnsi="Rubik" w:cs="Rubik"/>
          <w:sz w:val="22"/>
          <w:szCs w:val="22"/>
        </w:rPr>
        <w:t xml:space="preserve"> e </w:t>
      </w:r>
      <w:r w:rsidRPr="00D27946">
        <w:rPr>
          <w:rFonts w:ascii="Rubik" w:hAnsi="Rubik" w:cs="Rubik"/>
          <w:b/>
          <w:bCs/>
          <w:sz w:val="22"/>
          <w:szCs w:val="22"/>
        </w:rPr>
        <w:t>Roberta Ribon</w:t>
      </w:r>
      <w:r w:rsidRPr="00F23723">
        <w:rPr>
          <w:rFonts w:ascii="Rubik" w:hAnsi="Rubik" w:cs="Rubik"/>
          <w:sz w:val="22"/>
          <w:szCs w:val="22"/>
        </w:rPr>
        <w:t xml:space="preserve">, avvocate esperte di tematiche di genere; è previsto un “cameo” con la testimonianza delle avvocate collaborative </w:t>
      </w:r>
      <w:r w:rsidRPr="00D27946">
        <w:rPr>
          <w:rFonts w:ascii="Rubik" w:hAnsi="Rubik" w:cs="Rubik"/>
          <w:b/>
          <w:bCs/>
          <w:sz w:val="22"/>
          <w:szCs w:val="22"/>
        </w:rPr>
        <w:t>Federica Tucci</w:t>
      </w:r>
      <w:r w:rsidRPr="00F23723">
        <w:rPr>
          <w:rFonts w:ascii="Rubik" w:hAnsi="Rubik" w:cs="Rubik"/>
          <w:sz w:val="22"/>
          <w:szCs w:val="22"/>
        </w:rPr>
        <w:t xml:space="preserve"> e </w:t>
      </w:r>
      <w:r w:rsidRPr="00D27946">
        <w:rPr>
          <w:rFonts w:ascii="Rubik" w:hAnsi="Rubik" w:cs="Rubik"/>
          <w:b/>
          <w:bCs/>
          <w:sz w:val="22"/>
          <w:szCs w:val="22"/>
        </w:rPr>
        <w:t xml:space="preserve">Mara Mazzara </w:t>
      </w:r>
      <w:r w:rsidRPr="00F23723">
        <w:rPr>
          <w:rFonts w:ascii="Rubik" w:hAnsi="Rubik" w:cs="Rubik"/>
          <w:sz w:val="22"/>
          <w:szCs w:val="22"/>
        </w:rPr>
        <w:t xml:space="preserve">del Foro di Bergamo. </w:t>
      </w:r>
    </w:p>
    <w:p w14:paraId="0B4EA0D5" w14:textId="77777777" w:rsidR="001F2BA1" w:rsidRPr="00F23723" w:rsidRDefault="001F2BA1" w:rsidP="001F2BA1">
      <w:pPr>
        <w:jc w:val="both"/>
        <w:rPr>
          <w:rFonts w:ascii="Rubik" w:hAnsi="Rubik" w:cs="Rubik"/>
          <w:sz w:val="22"/>
          <w:szCs w:val="22"/>
        </w:rPr>
      </w:pPr>
    </w:p>
    <w:p w14:paraId="627CC406" w14:textId="77777777" w:rsidR="001F2BA1" w:rsidRDefault="001F2BA1" w:rsidP="001F2BA1">
      <w:pPr>
        <w:jc w:val="both"/>
        <w:rPr>
          <w:rFonts w:ascii="Rubik" w:hAnsi="Rubik" w:cs="Rubik"/>
          <w:sz w:val="22"/>
          <w:szCs w:val="22"/>
        </w:rPr>
      </w:pPr>
      <w:r w:rsidRPr="00F23723">
        <w:rPr>
          <w:rFonts w:ascii="Rubik" w:hAnsi="Rubik" w:cs="Rubik"/>
          <w:sz w:val="22"/>
          <w:szCs w:val="22"/>
        </w:rPr>
        <w:t xml:space="preserve">Il </w:t>
      </w:r>
      <w:r>
        <w:rPr>
          <w:rFonts w:ascii="Rubik" w:hAnsi="Rubik" w:cs="Rubik"/>
          <w:sz w:val="22"/>
          <w:szCs w:val="22"/>
        </w:rPr>
        <w:t>p</w:t>
      </w:r>
      <w:r w:rsidRPr="00F23723">
        <w:rPr>
          <w:rFonts w:ascii="Rubik" w:hAnsi="Rubik" w:cs="Rubik"/>
          <w:sz w:val="22"/>
          <w:szCs w:val="22"/>
        </w:rPr>
        <w:t xml:space="preserve">rogetto risponde alle finalità del </w:t>
      </w:r>
      <w:r w:rsidRPr="00E96BE1">
        <w:rPr>
          <w:rFonts w:ascii="Rubik" w:hAnsi="Rubik" w:cs="Rubik"/>
          <w:b/>
          <w:bCs/>
          <w:i/>
          <w:iCs/>
          <w:sz w:val="22"/>
          <w:szCs w:val="22"/>
        </w:rPr>
        <w:t>PON “Next Generation UPP”</w:t>
      </w:r>
      <w:r>
        <w:rPr>
          <w:rFonts w:ascii="Rubik" w:hAnsi="Rubik" w:cs="Rubik"/>
          <w:sz w:val="22"/>
          <w:szCs w:val="22"/>
        </w:rPr>
        <w:t xml:space="preserve">, </w:t>
      </w:r>
      <w:r w:rsidRPr="00F23723">
        <w:rPr>
          <w:rFonts w:ascii="Rubik" w:hAnsi="Rubik" w:cs="Rubik"/>
          <w:sz w:val="22"/>
          <w:szCs w:val="22"/>
        </w:rPr>
        <w:t xml:space="preserve">ovvero </w:t>
      </w:r>
      <w:r w:rsidRPr="00E96BE1">
        <w:rPr>
          <w:rFonts w:ascii="Rubik" w:hAnsi="Rubik" w:cs="Rubik"/>
          <w:b/>
          <w:bCs/>
          <w:sz w:val="22"/>
          <w:szCs w:val="22"/>
        </w:rPr>
        <w:t>rafforzare le sinergie tra sistema della giustizia e sistema della formazione e della ricerca universitaria</w:t>
      </w:r>
      <w:r w:rsidRPr="00E96BE1">
        <w:rPr>
          <w:rFonts w:ascii="Rubik" w:hAnsi="Rubik" w:cs="Rubik"/>
          <w:sz w:val="22"/>
          <w:szCs w:val="22"/>
        </w:rPr>
        <w:t xml:space="preserve">, </w:t>
      </w:r>
      <w:r w:rsidRPr="00F23723">
        <w:rPr>
          <w:rFonts w:ascii="Rubik" w:hAnsi="Rubik" w:cs="Rubik"/>
          <w:sz w:val="22"/>
          <w:szCs w:val="22"/>
        </w:rPr>
        <w:t xml:space="preserve">per fornire agli uffici giudiziari il </w:t>
      </w:r>
      <w:r w:rsidRPr="00E96BE1">
        <w:rPr>
          <w:rFonts w:ascii="Rubik" w:hAnsi="Rubik" w:cs="Rubik"/>
          <w:b/>
          <w:bCs/>
          <w:sz w:val="22"/>
          <w:szCs w:val="22"/>
        </w:rPr>
        <w:t>supporto alla deflazione del contenzioso</w:t>
      </w:r>
      <w:r w:rsidRPr="00F23723">
        <w:rPr>
          <w:rFonts w:ascii="Rubik" w:hAnsi="Rubik" w:cs="Rubik"/>
          <w:sz w:val="22"/>
          <w:szCs w:val="22"/>
        </w:rPr>
        <w:t xml:space="preserve"> e </w:t>
      </w:r>
      <w:r w:rsidRPr="00C64FAD">
        <w:rPr>
          <w:rFonts w:ascii="Rubik" w:hAnsi="Rubik" w:cs="Rubik"/>
          <w:b/>
          <w:bCs/>
          <w:sz w:val="22"/>
          <w:szCs w:val="22"/>
        </w:rPr>
        <w:t>all’attività di conciliazione delle cause e valutazione delle controversie</w:t>
      </w:r>
      <w:r w:rsidRPr="00F23723">
        <w:rPr>
          <w:rFonts w:ascii="Rubik" w:hAnsi="Rubik" w:cs="Rubik"/>
          <w:sz w:val="22"/>
          <w:szCs w:val="22"/>
        </w:rPr>
        <w:t xml:space="preserve"> che possono essere inviate ad una gestione negoziale della lite, attraverso la valutazione degli </w:t>
      </w:r>
      <w:r w:rsidRPr="00C64FAD">
        <w:rPr>
          <w:rFonts w:ascii="Rubik" w:hAnsi="Rubik" w:cs="Rubik"/>
          <w:b/>
          <w:bCs/>
          <w:sz w:val="22"/>
          <w:szCs w:val="22"/>
        </w:rPr>
        <w:t>indici di “mediabilità”</w:t>
      </w:r>
      <w:r w:rsidRPr="00F23723">
        <w:rPr>
          <w:rFonts w:ascii="Rubik" w:hAnsi="Rubik" w:cs="Rubik"/>
          <w:sz w:val="22"/>
          <w:szCs w:val="22"/>
        </w:rPr>
        <w:t xml:space="preserve">. La proposta didattica consente, altresì, di adeguare l’offerta formativa del percorso universitario alle richieste provenienti dal contesto giudiziario, anche mediante l’individuazione di programmi stabili di collaborazione. </w:t>
      </w:r>
    </w:p>
    <w:p w14:paraId="6779004E" w14:textId="77777777" w:rsidR="001F2BA1" w:rsidRPr="00F23723" w:rsidRDefault="001F2BA1" w:rsidP="001F2BA1">
      <w:pPr>
        <w:jc w:val="both"/>
        <w:rPr>
          <w:rFonts w:ascii="Rubik" w:hAnsi="Rubik" w:cs="Rubik"/>
          <w:sz w:val="22"/>
          <w:szCs w:val="22"/>
        </w:rPr>
      </w:pPr>
    </w:p>
    <w:p w14:paraId="280DA048" w14:textId="5B1DFAE3" w:rsidR="001F2BA1" w:rsidRDefault="001F2BA1" w:rsidP="001F2BA1">
      <w:pPr>
        <w:jc w:val="both"/>
        <w:rPr>
          <w:rFonts w:ascii="Rubik" w:hAnsi="Rubik" w:cs="Rubik"/>
          <w:sz w:val="22"/>
          <w:szCs w:val="22"/>
        </w:rPr>
      </w:pPr>
      <w:r w:rsidRPr="00F23723">
        <w:rPr>
          <w:rFonts w:ascii="Rubik" w:hAnsi="Rubik" w:cs="Rubik"/>
          <w:sz w:val="22"/>
          <w:szCs w:val="22"/>
        </w:rPr>
        <w:t xml:space="preserve">Il </w:t>
      </w:r>
      <w:r>
        <w:rPr>
          <w:rFonts w:ascii="Rubik" w:hAnsi="Rubik" w:cs="Rubik"/>
          <w:sz w:val="22"/>
          <w:szCs w:val="22"/>
        </w:rPr>
        <w:t>l</w:t>
      </w:r>
      <w:r w:rsidRPr="00F23723">
        <w:rPr>
          <w:rFonts w:ascii="Rubik" w:hAnsi="Rubik" w:cs="Rubik"/>
          <w:sz w:val="22"/>
          <w:szCs w:val="22"/>
        </w:rPr>
        <w:t xml:space="preserve">aboratorio si pone l'obiettivo di </w:t>
      </w:r>
      <w:r w:rsidRPr="00C64FAD">
        <w:rPr>
          <w:rFonts w:ascii="Rubik" w:hAnsi="Rubik" w:cs="Rubik"/>
          <w:b/>
          <w:bCs/>
          <w:sz w:val="22"/>
          <w:szCs w:val="22"/>
        </w:rPr>
        <w:t>fornire agli studenti</w:t>
      </w:r>
      <w:r w:rsidRPr="00F23723">
        <w:rPr>
          <w:rFonts w:ascii="Rubik" w:hAnsi="Rubik" w:cs="Rubik"/>
          <w:sz w:val="22"/>
          <w:szCs w:val="22"/>
        </w:rPr>
        <w:t xml:space="preserve"> della Laurea magistrale a ciclo unico in giurisprudenza </w:t>
      </w:r>
      <w:r w:rsidRPr="00C64FAD">
        <w:rPr>
          <w:rFonts w:ascii="Rubik" w:hAnsi="Rubik" w:cs="Rubik"/>
          <w:b/>
          <w:bCs/>
          <w:sz w:val="22"/>
          <w:szCs w:val="22"/>
        </w:rPr>
        <w:t>competenze trasversali e interdisciplinari</w:t>
      </w:r>
      <w:r w:rsidRPr="00F23723">
        <w:rPr>
          <w:rFonts w:ascii="Rubik" w:hAnsi="Rubik" w:cs="Rubik"/>
          <w:sz w:val="22"/>
          <w:szCs w:val="22"/>
        </w:rPr>
        <w:t xml:space="preserve">, rispetto a quelle acquisite nel percorso di studi, nell’ambito degli strumenti di risoluzione dei conflitti al di fuori del tribunale, per consentire loro di </w:t>
      </w:r>
      <w:r w:rsidRPr="00C64FAD">
        <w:rPr>
          <w:rFonts w:ascii="Rubik" w:hAnsi="Rubik" w:cs="Rubik"/>
          <w:b/>
          <w:bCs/>
          <w:sz w:val="22"/>
          <w:szCs w:val="22"/>
        </w:rPr>
        <w:t>affinare la capacità di problem solving e di lavoro di gruppo</w:t>
      </w:r>
      <w:r w:rsidRPr="00F23723">
        <w:rPr>
          <w:rFonts w:ascii="Rubik" w:hAnsi="Rubik" w:cs="Rubik"/>
          <w:sz w:val="22"/>
          <w:szCs w:val="22"/>
        </w:rPr>
        <w:t>.</w:t>
      </w:r>
      <w:r>
        <w:rPr>
          <w:rFonts w:ascii="Rubik" w:hAnsi="Rubik" w:cs="Rubik"/>
          <w:sz w:val="22"/>
          <w:szCs w:val="22"/>
        </w:rPr>
        <w:t xml:space="preserve"> </w:t>
      </w:r>
      <w:r w:rsidRPr="00F23723">
        <w:rPr>
          <w:rFonts w:ascii="Rubik" w:hAnsi="Rubik" w:cs="Rubik"/>
          <w:sz w:val="22"/>
          <w:szCs w:val="22"/>
        </w:rPr>
        <w:t xml:space="preserve">In </w:t>
      </w:r>
      <w:r w:rsidRPr="00F23723">
        <w:rPr>
          <w:rFonts w:ascii="Rubik" w:hAnsi="Rubik" w:cs="Rubik"/>
          <w:sz w:val="22"/>
          <w:szCs w:val="22"/>
        </w:rPr>
        <w:lastRenderedPageBreak/>
        <w:t xml:space="preserve">particolare, la finalità è quella di far acquisire ai partecipanti competenze sulla </w:t>
      </w:r>
      <w:r w:rsidRPr="00C64FAD">
        <w:rPr>
          <w:rFonts w:ascii="Rubik" w:hAnsi="Rubik" w:cs="Rubik"/>
          <w:b/>
          <w:bCs/>
          <w:sz w:val="22"/>
          <w:szCs w:val="22"/>
        </w:rPr>
        <w:t xml:space="preserve">gestione negoziale dei conflitti </w:t>
      </w:r>
      <w:r w:rsidRPr="00F23723">
        <w:rPr>
          <w:rFonts w:ascii="Rubik" w:hAnsi="Rubik" w:cs="Rubik"/>
          <w:sz w:val="22"/>
          <w:szCs w:val="22"/>
        </w:rPr>
        <w:t xml:space="preserve">e sul </w:t>
      </w:r>
      <w:r w:rsidRPr="00C64FAD">
        <w:rPr>
          <w:rFonts w:ascii="Rubik" w:hAnsi="Rubik" w:cs="Rubik"/>
          <w:b/>
          <w:bCs/>
          <w:sz w:val="22"/>
          <w:szCs w:val="22"/>
        </w:rPr>
        <w:t>metodo della Pratica Collaborativa</w:t>
      </w:r>
      <w:r w:rsidRPr="00F23723">
        <w:rPr>
          <w:rFonts w:ascii="Rubik" w:hAnsi="Rubik" w:cs="Rubik"/>
          <w:sz w:val="22"/>
          <w:szCs w:val="22"/>
        </w:rPr>
        <w:t xml:space="preserve"> in relazione ai conflitti familiari e dei rapporti di durata, nei quali le parti hanno interesse a mantenere o ripristinare la relazione (successioni, diritto societario, d</w:t>
      </w:r>
      <w:r w:rsidR="00953E58">
        <w:rPr>
          <w:rFonts w:ascii="Rubik" w:hAnsi="Rubik" w:cs="Rubik"/>
          <w:sz w:val="22"/>
          <w:szCs w:val="22"/>
        </w:rPr>
        <w:t>i</w:t>
      </w:r>
      <w:r w:rsidRPr="00F23723">
        <w:rPr>
          <w:rFonts w:ascii="Rubik" w:hAnsi="Rubik" w:cs="Rubik"/>
          <w:sz w:val="22"/>
          <w:szCs w:val="22"/>
        </w:rPr>
        <w:t>ritto del lavoro e passaggio generazionale), per arricchire il loro bagaglio di competenze di base e per fornire competenze aggiuntive che rispondano ai profili professionali richiesti all’esito del percorso universitario.</w:t>
      </w:r>
    </w:p>
    <w:p w14:paraId="2DCAABDF" w14:textId="77777777" w:rsidR="001F2BA1" w:rsidRPr="00F23723" w:rsidRDefault="001F2BA1" w:rsidP="001F2BA1">
      <w:pPr>
        <w:jc w:val="both"/>
        <w:rPr>
          <w:rFonts w:ascii="Rubik" w:hAnsi="Rubik" w:cs="Rubik"/>
          <w:sz w:val="22"/>
          <w:szCs w:val="22"/>
        </w:rPr>
      </w:pPr>
    </w:p>
    <w:p w14:paraId="533048F3" w14:textId="77777777" w:rsidR="001F2BA1" w:rsidRDefault="001F2BA1" w:rsidP="001F2BA1">
      <w:pPr>
        <w:jc w:val="both"/>
        <w:rPr>
          <w:rFonts w:ascii="Rubik" w:hAnsi="Rubik" w:cs="Rubik"/>
          <w:sz w:val="22"/>
          <w:szCs w:val="22"/>
        </w:rPr>
      </w:pPr>
      <w:r w:rsidRPr="00487676">
        <w:rPr>
          <w:rFonts w:ascii="Rubik" w:hAnsi="Rubik" w:cs="Rubik"/>
          <w:sz w:val="22"/>
          <w:szCs w:val="22"/>
        </w:rPr>
        <w:t>Muovendo dai necessari presupposti teorici, si apre una riflessione sulla gestione delle situazioni di conflitto</w:t>
      </w:r>
      <w:r>
        <w:rPr>
          <w:rFonts w:ascii="Rubik" w:hAnsi="Rubik" w:cs="Rubik"/>
          <w:sz w:val="22"/>
          <w:szCs w:val="22"/>
        </w:rPr>
        <w:t>,</w:t>
      </w:r>
      <w:r w:rsidRPr="00487676">
        <w:rPr>
          <w:rFonts w:ascii="Rubik" w:hAnsi="Rubik" w:cs="Rubik"/>
          <w:sz w:val="22"/>
          <w:szCs w:val="22"/>
        </w:rPr>
        <w:t xml:space="preserve"> in particolare quello familiare</w:t>
      </w:r>
      <w:r>
        <w:rPr>
          <w:rFonts w:ascii="Rubik" w:hAnsi="Rubik" w:cs="Rubik"/>
          <w:sz w:val="22"/>
          <w:szCs w:val="22"/>
        </w:rPr>
        <w:t>,</w:t>
      </w:r>
      <w:r w:rsidRPr="00487676">
        <w:rPr>
          <w:rFonts w:ascii="Rubik" w:hAnsi="Rubik" w:cs="Rubik"/>
          <w:sz w:val="22"/>
          <w:szCs w:val="22"/>
        </w:rPr>
        <w:t xml:space="preserve"> e sui principi e i fondamenti della Pratica Collaborativa quale strumento peculiare nel panorama delle ADR. Un focus è dedicato alle </w:t>
      </w:r>
      <w:r w:rsidRPr="00487676">
        <w:rPr>
          <w:rFonts w:ascii="Rubik" w:hAnsi="Rubik" w:cs="Rubik"/>
          <w:b/>
          <w:bCs/>
          <w:sz w:val="22"/>
          <w:szCs w:val="22"/>
        </w:rPr>
        <w:t>tematiche di genere</w:t>
      </w:r>
      <w:r w:rsidRPr="00487676">
        <w:rPr>
          <w:rFonts w:ascii="Rubik" w:hAnsi="Rubik" w:cs="Rubik"/>
          <w:sz w:val="22"/>
          <w:szCs w:val="22"/>
        </w:rPr>
        <w:t xml:space="preserve"> e della </w:t>
      </w:r>
      <w:r w:rsidRPr="00487676">
        <w:rPr>
          <w:rFonts w:ascii="Rubik" w:hAnsi="Rubik" w:cs="Rubik"/>
          <w:b/>
          <w:bCs/>
          <w:sz w:val="22"/>
          <w:szCs w:val="22"/>
        </w:rPr>
        <w:t>violenza di genere</w:t>
      </w:r>
      <w:r w:rsidRPr="00487676">
        <w:rPr>
          <w:rFonts w:ascii="Rubik" w:hAnsi="Rubik" w:cs="Rubik"/>
          <w:sz w:val="22"/>
          <w:szCs w:val="22"/>
        </w:rPr>
        <w:t xml:space="preserve"> e all’indagine della linea di discrimen tra </w:t>
      </w:r>
      <w:r w:rsidRPr="00487676">
        <w:rPr>
          <w:rFonts w:ascii="Rubik" w:hAnsi="Rubik" w:cs="Rubik"/>
          <w:b/>
          <w:bCs/>
          <w:sz w:val="22"/>
          <w:szCs w:val="22"/>
        </w:rPr>
        <w:t>conflitto e violenza</w:t>
      </w:r>
      <w:r w:rsidRPr="00487676">
        <w:rPr>
          <w:rFonts w:ascii="Rubik" w:hAnsi="Rubik" w:cs="Rubik"/>
          <w:sz w:val="22"/>
          <w:szCs w:val="22"/>
        </w:rPr>
        <w:t xml:space="preserve">. Il progetto adotta una </w:t>
      </w:r>
      <w:r w:rsidRPr="00487676">
        <w:rPr>
          <w:rFonts w:ascii="Rubik" w:hAnsi="Rubik" w:cs="Rubik"/>
          <w:b/>
          <w:bCs/>
          <w:sz w:val="22"/>
          <w:szCs w:val="22"/>
        </w:rPr>
        <w:t>metodologia di formazione partecipata</w:t>
      </w:r>
      <w:r w:rsidRPr="00487676">
        <w:rPr>
          <w:rFonts w:ascii="Rubik" w:hAnsi="Rubik" w:cs="Rubik"/>
          <w:sz w:val="22"/>
          <w:szCs w:val="22"/>
        </w:rPr>
        <w:t>, attraverso esercitazioni, roleplaying, discussione di un caso e simulazioni. Il gruppo ristretto di partecipanti favorisce il coinvolgimento e l’interazione dei corsisti con i formatori in tutte le fasi del percorso. Il corso soddisfa i requisiti della formazione multidisciplinare alla Pratica Collaborativa, superando ampiamente gli standard fissati da IACP - International Academy of Collaborative Professionals.</w:t>
      </w:r>
      <w:r w:rsidRPr="00F23723">
        <w:rPr>
          <w:rFonts w:ascii="Rubik" w:hAnsi="Rubik" w:cs="Rubik"/>
          <w:sz w:val="22"/>
          <w:szCs w:val="22"/>
        </w:rPr>
        <w:t xml:space="preserve"> </w:t>
      </w:r>
    </w:p>
    <w:p w14:paraId="7E6B824B" w14:textId="77777777" w:rsidR="001F2BA1" w:rsidRPr="00F23723" w:rsidRDefault="001F2BA1" w:rsidP="001F2BA1">
      <w:pPr>
        <w:jc w:val="both"/>
        <w:rPr>
          <w:rFonts w:ascii="Rubik" w:hAnsi="Rubik" w:cs="Rubik"/>
          <w:sz w:val="22"/>
          <w:szCs w:val="22"/>
        </w:rPr>
      </w:pPr>
    </w:p>
    <w:p w14:paraId="7D726649" w14:textId="77777777" w:rsidR="001F2BA1" w:rsidRPr="00B53239" w:rsidRDefault="001F2BA1" w:rsidP="001F2BA1">
      <w:pPr>
        <w:jc w:val="both"/>
        <w:rPr>
          <w:rFonts w:ascii="Rubik" w:hAnsi="Rubik" w:cs="Rubik"/>
          <w:sz w:val="22"/>
          <w:szCs w:val="22"/>
        </w:rPr>
      </w:pPr>
      <w:r w:rsidRPr="00F23723">
        <w:rPr>
          <w:rFonts w:ascii="Rubik" w:hAnsi="Rubik" w:cs="Rubik"/>
          <w:sz w:val="22"/>
          <w:szCs w:val="22"/>
        </w:rPr>
        <w:t xml:space="preserve">Il progetto si pone anche in linea con gli </w:t>
      </w:r>
      <w:r w:rsidRPr="00C64FAD">
        <w:rPr>
          <w:rFonts w:ascii="Rubik" w:hAnsi="Rubik" w:cs="Rubik"/>
          <w:b/>
          <w:bCs/>
          <w:sz w:val="22"/>
          <w:szCs w:val="22"/>
        </w:rPr>
        <w:t>obiettivi strategici individuati dal Dipartimento</w:t>
      </w:r>
      <w:r w:rsidRPr="00F23723">
        <w:rPr>
          <w:rFonts w:ascii="Rubik" w:hAnsi="Rubik" w:cs="Rubik"/>
          <w:sz w:val="22"/>
          <w:szCs w:val="22"/>
        </w:rPr>
        <w:t xml:space="preserve"> con riferimento alla didattica esperienziale e prosegue in modo deciso nella direzione dello </w:t>
      </w:r>
      <w:r w:rsidRPr="00C64FAD">
        <w:rPr>
          <w:rFonts w:ascii="Rubik" w:hAnsi="Rubik" w:cs="Rubik"/>
          <w:b/>
          <w:bCs/>
          <w:sz w:val="22"/>
          <w:szCs w:val="22"/>
        </w:rPr>
        <w:t>sviluppo della didattica laboratoriale</w:t>
      </w:r>
      <w:r w:rsidRPr="00F23723">
        <w:rPr>
          <w:rFonts w:ascii="Rubik" w:hAnsi="Rubik" w:cs="Rubik"/>
          <w:sz w:val="22"/>
          <w:szCs w:val="22"/>
        </w:rPr>
        <w:t xml:space="preserve"> e nella </w:t>
      </w:r>
      <w:r w:rsidRPr="00C64FAD">
        <w:rPr>
          <w:rFonts w:ascii="Rubik" w:hAnsi="Rubik" w:cs="Rubik"/>
          <w:b/>
          <w:bCs/>
          <w:sz w:val="22"/>
          <w:szCs w:val="22"/>
        </w:rPr>
        <w:t xml:space="preserve">progettazione di percorsi di apprendimento inclusivi </w:t>
      </w:r>
      <w:r w:rsidRPr="00F23723">
        <w:rPr>
          <w:rFonts w:ascii="Rubik" w:hAnsi="Rubik" w:cs="Rubik"/>
          <w:sz w:val="22"/>
          <w:szCs w:val="22"/>
        </w:rPr>
        <w:t>promuovendo la sperimentazione di un modello nuovo nel quale interagiscono professionisti con competenze diverse: avvocati esperti nella pratica collaborativa, pedagogisti e psicologi, avvocati esperti nelle tematiche di genere, esperti della comunicazione ed esperti contabili.</w:t>
      </w:r>
    </w:p>
    <w:p w14:paraId="7A6B5442" w14:textId="77777777" w:rsidR="001F2BA1" w:rsidRDefault="001F2BA1"/>
    <w:sectPr w:rsidR="001F2BA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39A8" w14:textId="77777777" w:rsidR="00003166" w:rsidRDefault="00003166" w:rsidP="006574C1">
      <w:r>
        <w:separator/>
      </w:r>
    </w:p>
  </w:endnote>
  <w:endnote w:type="continuationSeparator" w:id="0">
    <w:p w14:paraId="11423C2F" w14:textId="77777777" w:rsidR="00003166" w:rsidRDefault="00003166" w:rsidP="0065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Rubik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7157" w14:textId="77777777" w:rsidR="00BB43C5" w:rsidRDefault="00BB43C5" w:rsidP="00BB43C5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E87C60">
      <w:rPr>
        <w:rFonts w:ascii="Rubik" w:hAnsi="Rubik" w:cs="Rubik"/>
        <w:color w:val="404040" w:themeColor="text1" w:themeTint="BF"/>
        <w:sz w:val="16"/>
        <w:szCs w:val="16"/>
      </w:rPr>
      <w:t xml:space="preserve">Via Moroni, 255 – 24127 Bergamo CF 80004350163 - P.IVA 01612800167 </w:t>
    </w:r>
  </w:p>
  <w:p w14:paraId="09600295" w14:textId="77777777" w:rsidR="00BB43C5" w:rsidRDefault="00BB43C5" w:rsidP="00BB43C5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E87C60">
      <w:rPr>
        <w:rFonts w:ascii="Rubik" w:hAnsi="Rubik" w:cs="Rubik"/>
        <w:color w:val="404040" w:themeColor="text1" w:themeTint="BF"/>
        <w:sz w:val="16"/>
        <w:szCs w:val="16"/>
      </w:rPr>
      <w:t xml:space="preserve">https://dgiu.unibg.it -  giurisprudenza@unibg.it – Pec: </w:t>
    </w:r>
    <w:hyperlink r:id="rId1" w:history="1">
      <w:r w:rsidRPr="00EF2501">
        <w:rPr>
          <w:rStyle w:val="Collegamentoipertestuale"/>
          <w:rFonts w:ascii="Rubik" w:hAnsi="Rubik" w:cs="Rubik"/>
          <w:sz w:val="16"/>
          <w:szCs w:val="16"/>
        </w:rPr>
        <w:t>giurisprudenza@unibg.legalmail.it</w:t>
      </w:r>
    </w:hyperlink>
  </w:p>
  <w:p w14:paraId="644D79CA" w14:textId="40216247" w:rsidR="006574C1" w:rsidRPr="00BB43C5" w:rsidRDefault="00BB43C5" w:rsidP="00BB43C5">
    <w:pPr>
      <w:pStyle w:val="Pidipagina"/>
    </w:pPr>
    <w:r w:rsidRPr="00E87C60">
      <w:rPr>
        <w:rFonts w:ascii="Rubik" w:hAnsi="Rubik" w:cs="Rubik"/>
        <w:color w:val="404040" w:themeColor="text1" w:themeTint="BF"/>
        <w:sz w:val="16"/>
        <w:szCs w:val="16"/>
      </w:rPr>
      <w:t xml:space="preserve">T. 035 2052693 – Fax 035 2052889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7814" w14:textId="77777777" w:rsidR="00003166" w:rsidRDefault="00003166" w:rsidP="006574C1">
      <w:r>
        <w:separator/>
      </w:r>
    </w:p>
  </w:footnote>
  <w:footnote w:type="continuationSeparator" w:id="0">
    <w:p w14:paraId="7924D4C0" w14:textId="77777777" w:rsidR="00003166" w:rsidRDefault="00003166" w:rsidP="0065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47F1" w14:textId="77777777" w:rsidR="006574C1" w:rsidRDefault="00000000">
    <w:pPr>
      <w:pStyle w:val="Intestazione"/>
    </w:pPr>
    <w:sdt>
      <w:sdtPr>
        <w:id w:val="958228368"/>
        <w:docPartObj>
          <w:docPartGallery w:val="Page Numbers (Margins)"/>
          <w:docPartUnique/>
        </w:docPartObj>
      </w:sdtPr>
      <w:sdtContent>
        <w:r w:rsidR="00195117" w:rsidRPr="00195117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3477D0F" wp14:editId="2895799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C3F86" w14:textId="77777777" w:rsidR="00195117" w:rsidRDefault="0019511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3477D0F" id="Rettangolo 1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HeAAIAAOYDAAAOAAAAZHJzL2Uyb0RvYy54bWysU8GO0zAQvSPxD5bvNE1pt2zUdLXqqghp&#10;YVcsfIDjOImF4zFjt8ny9YydbilwQ+RgeTzjl3nvjTc3Y2/YUaHXYEuez+acKSuh1rYt+dcv+zfv&#10;OPNB2FoYsKrkz8rzm+3rV5vBFWoBHZhaISMQ64vBlbwLwRVZ5mWneuFn4JSlZAPYi0AhtlmNYiD0&#10;3mSL+fwqGwBrhyCV93R6NyX5NuE3jZLhoWm8CsyUnHoLacW0VnHNthtRtChcp+WpDfEPXfRCW/rp&#10;GepOBMEOqP+C6rVE8NCEmYQ+g6bRUiUOxCaf/8HmqRNOJS4kjndnmfz/g5Wfjo/IdE3ecWZFTxZ9&#10;VoEMa8EAy6M+g/MFlT25R4wMvbsH+c0zC7uOytQtIgydEjV1leqz3y7EwNNVVg0foSZ4cQiQpBob&#10;7CMgicDG5Mjz2RE1BibpcL1Yr3PyTVLq7eJ6dbWKHWWieLns0If3CnoWNyVHMjyBi+O9D1PpS0lq&#10;Hoyu99qYFGBb7Qyyo6Dh2KfvhO4vy4yNxRbitQkxniSWkdgkUBir8aRVBfUz8UWYho0eB206wB+c&#10;DTRoJfffDwIVZ+aDJc2u8+UyTmYKlqv1ggK8zFSXGWElQZU8cDZtd2Ga5oND3Xb0pzzxt3BLOjc6&#10;aRA9mLo69U3DlFQ8DX6c1ss4Vf16ntufAAAA//8DAFBLAwQUAAYACAAAACEAcaaGg9wAAAAEAQAA&#10;DwAAAGRycy9kb3ducmV2LnhtbEyPQUvDQBCF74L/YZmCF2k3EVs0ZlNEqRQKhdai1212moTuzobs&#10;NE3/vVsvehl4vMd73+TzwVnRYxcaTwrSSQICqfSmoUrB7nMxfgIRWJPR1hMquGCAeXF7k+vM+DNt&#10;sN9yJWIJhUwrqJnbTMpQ1uh0mPgWKXoH3znNUXaVNJ0+x3Jn5UOSzKTTDcWFWrf4VmN53J6cguO3&#10;4XW/5GG1bBf37v3Lbi4fVqm70fD6AoJx4L8wXPEjOhSRae9PZIKwCuIj/HuvXvo4A7FXME2fQRa5&#10;/A9f/AAAAP//AwBQSwECLQAUAAYACAAAACEAtoM4kv4AAADhAQAAEwAAAAAAAAAAAAAAAAAAAAAA&#10;W0NvbnRlbnRfVHlwZXNdLnhtbFBLAQItABQABgAIAAAAIQA4/SH/1gAAAJQBAAALAAAAAAAAAAAA&#10;AAAAAC8BAABfcmVscy8ucmVsc1BLAQItABQABgAIAAAAIQB3WPHeAAIAAOYDAAAOAAAAAAAAAAAA&#10;AAAAAC4CAABkcnMvZTJvRG9jLnhtbFBLAQItABQABgAIAAAAIQBxpoaD3AAAAAQBAAAPAAAAAAAA&#10;AAAAAAAAAFoEAABkcnMvZG93bnJldi54bWxQSwUGAAAAAAQABADzAAAAYwUAAAAA&#10;" o:allowincell="f" stroked="f">
                  <v:textbox>
                    <w:txbxContent>
                      <w:p w14:paraId="4B4C3F86" w14:textId="77777777" w:rsidR="00195117" w:rsidRDefault="0019511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574C1">
      <w:rPr>
        <w:noProof/>
      </w:rPr>
      <w:drawing>
        <wp:anchor distT="0" distB="0" distL="114300" distR="114300" simplePos="0" relativeHeight="251659264" behindDoc="0" locked="0" layoutInCell="1" allowOverlap="1" wp14:anchorId="0966B18F" wp14:editId="43B67FA9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6332400" cy="759600"/>
          <wp:effectExtent l="0" t="0" r="0" b="254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quenza loghi carta intestata bergam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4C1">
      <w:ptab w:relativeTo="margin" w:alignment="center" w:leader="none"/>
    </w:r>
    <w:r w:rsidR="006574C1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C1"/>
    <w:rsid w:val="00003166"/>
    <w:rsid w:val="00195117"/>
    <w:rsid w:val="001F2BA1"/>
    <w:rsid w:val="0020478C"/>
    <w:rsid w:val="0028026F"/>
    <w:rsid w:val="003D352F"/>
    <w:rsid w:val="006574C1"/>
    <w:rsid w:val="00953E58"/>
    <w:rsid w:val="00BB43C5"/>
    <w:rsid w:val="00C465AE"/>
    <w:rsid w:val="00D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E5865"/>
  <w15:chartTrackingRefBased/>
  <w15:docId w15:val="{2421A577-CB94-4CC4-BE59-7C2C68FF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74C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4C1"/>
  </w:style>
  <w:style w:type="paragraph" w:styleId="Pidipagina">
    <w:name w:val="footer"/>
    <w:basedOn w:val="Normale"/>
    <w:link w:val="PidipaginaCarattere"/>
    <w:uiPriority w:val="99"/>
    <w:unhideWhenUsed/>
    <w:rsid w:val="006574C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4C1"/>
  </w:style>
  <w:style w:type="character" w:styleId="Collegamentoipertestuale">
    <w:name w:val="Hyperlink"/>
    <w:basedOn w:val="Carpredefinitoparagrafo"/>
    <w:uiPriority w:val="99"/>
    <w:unhideWhenUsed/>
    <w:rsid w:val="00BB43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urisprudenza@unibg.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 Farina</dc:creator>
  <cp:keywords/>
  <dc:description/>
  <cp:lastModifiedBy>Martina Cerea</cp:lastModifiedBy>
  <cp:revision>8</cp:revision>
  <dcterms:created xsi:type="dcterms:W3CDTF">2022-05-30T15:42:00Z</dcterms:created>
  <dcterms:modified xsi:type="dcterms:W3CDTF">2023-07-20T09:17:00Z</dcterms:modified>
</cp:coreProperties>
</file>