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2350E04A" w:rsidR="007C29C7" w:rsidRPr="00271BE8" w:rsidRDefault="00B624E0">
      <w:pPr>
        <w:jc w:val="center"/>
        <w:rPr>
          <w:rFonts w:ascii="Rubik" w:eastAsia="Rubik" w:hAnsi="Rubik" w:cs="Rubik"/>
          <w:sz w:val="20"/>
          <w:szCs w:val="20"/>
          <w:u w:val="single"/>
        </w:rPr>
      </w:pPr>
      <w:r>
        <w:rPr>
          <w:rFonts w:ascii="Rubik" w:eastAsia="Rubik" w:hAnsi="Rubik" w:cs="Rubik"/>
          <w:sz w:val="20"/>
          <w:szCs w:val="20"/>
          <w:u w:val="single"/>
        </w:rPr>
        <w:t>COMUNICATO</w:t>
      </w:r>
      <w:r w:rsidR="000D6C04">
        <w:rPr>
          <w:rFonts w:ascii="Rubik" w:eastAsia="Rubik" w:hAnsi="Rubik" w:cs="Rubik"/>
          <w:sz w:val="20"/>
          <w:szCs w:val="20"/>
          <w:u w:val="single"/>
        </w:rPr>
        <w:t xml:space="preserve"> </w:t>
      </w:r>
      <w:r w:rsidR="001C3D94" w:rsidRPr="00271BE8">
        <w:rPr>
          <w:rFonts w:ascii="Rubik" w:eastAsia="Rubik" w:hAnsi="Rubik" w:cs="Rubik"/>
          <w:sz w:val="20"/>
          <w:szCs w:val="20"/>
          <w:u w:val="single"/>
        </w:rPr>
        <w:t>STAMPA</w:t>
      </w:r>
    </w:p>
    <w:p w14:paraId="1BD70342" w14:textId="77777777" w:rsidR="007542A1" w:rsidRDefault="007542A1" w:rsidP="001611B8">
      <w:pPr>
        <w:jc w:val="both"/>
        <w:rPr>
          <w:rFonts w:ascii="Rubik" w:eastAsia="Rubik" w:hAnsi="Rubik" w:cs="Rubik"/>
          <w:i/>
        </w:rPr>
      </w:pPr>
    </w:p>
    <w:p w14:paraId="67B11294" w14:textId="0F22B1FA" w:rsidR="00AC4ECF" w:rsidRDefault="00AC4ECF" w:rsidP="00AC4ECF">
      <w:pPr>
        <w:jc w:val="center"/>
        <w:rPr>
          <w:rFonts w:ascii="Rubik" w:hAnsi="Rubik" w:cs="Rubik"/>
        </w:rPr>
      </w:pPr>
      <w:r>
        <w:rPr>
          <w:rFonts w:ascii="Rubik" w:hAnsi="Rubik" w:cs="Rubik"/>
        </w:rPr>
        <w:t>Inaugurazione della mostra itinerante</w:t>
      </w:r>
    </w:p>
    <w:p w14:paraId="081237A9" w14:textId="77777777" w:rsidR="00AC4ECF" w:rsidRDefault="00AC4ECF" w:rsidP="00AC4ECF">
      <w:pPr>
        <w:jc w:val="center"/>
        <w:rPr>
          <w:rFonts w:ascii="Rubik" w:hAnsi="Rubik" w:cs="Rubik"/>
          <w:b/>
          <w:bCs/>
          <w:i/>
          <w:iCs/>
        </w:rPr>
      </w:pPr>
      <w:proofErr w:type="spellStart"/>
      <w:r>
        <w:rPr>
          <w:rFonts w:ascii="Rubik" w:hAnsi="Rubik" w:cs="Rubik"/>
          <w:b/>
          <w:bCs/>
          <w:i/>
          <w:iCs/>
        </w:rPr>
        <w:t>WeGeoPlan</w:t>
      </w:r>
      <w:proofErr w:type="spellEnd"/>
      <w:r>
        <w:rPr>
          <w:rFonts w:ascii="Rubik" w:hAnsi="Rubik" w:cs="Rubik"/>
          <w:b/>
          <w:bCs/>
          <w:i/>
          <w:iCs/>
        </w:rPr>
        <w:t xml:space="preserve">: </w:t>
      </w:r>
    </w:p>
    <w:p w14:paraId="704048DE" w14:textId="4112811D" w:rsidR="00AC4ECF" w:rsidRPr="00AC4ECF" w:rsidRDefault="00AC4ECF" w:rsidP="00AC4ECF">
      <w:pPr>
        <w:jc w:val="center"/>
        <w:rPr>
          <w:rFonts w:ascii="Rubik" w:hAnsi="Rubik" w:cs="Rubik"/>
          <w:b/>
          <w:bCs/>
          <w:i/>
          <w:iCs/>
        </w:rPr>
      </w:pPr>
      <w:r>
        <w:rPr>
          <w:rFonts w:ascii="Rubik" w:hAnsi="Rubik" w:cs="Rubik"/>
          <w:b/>
          <w:bCs/>
          <w:i/>
          <w:iCs/>
        </w:rPr>
        <w:t>gli studenti di Geourbanistica per il futuro della Valle di Astino</w:t>
      </w:r>
    </w:p>
    <w:p w14:paraId="6D386DBF" w14:textId="77777777" w:rsidR="00AC4ECF" w:rsidRDefault="00AC4ECF" w:rsidP="00AC4ECF">
      <w:pPr>
        <w:jc w:val="both"/>
        <w:rPr>
          <w:rFonts w:ascii="Rubik" w:hAnsi="Rubik" w:cs="Rubik"/>
        </w:rPr>
      </w:pPr>
    </w:p>
    <w:p w14:paraId="28D73764" w14:textId="12F4BED6" w:rsidR="00AC4ECF" w:rsidRPr="00AC4ECF" w:rsidRDefault="00AC4ECF" w:rsidP="00AC4ECF">
      <w:pPr>
        <w:jc w:val="both"/>
        <w:rPr>
          <w:rFonts w:ascii="Rubik" w:hAnsi="Rubik" w:cs="Rubik"/>
          <w:color w:val="222222"/>
          <w:sz w:val="22"/>
          <w:szCs w:val="22"/>
          <w:shd w:val="clear" w:color="auto" w:fill="FFFFFF"/>
        </w:rPr>
      </w:pPr>
      <w:r w:rsidRPr="00AC4ECF">
        <w:rPr>
          <w:rFonts w:ascii="Rubik" w:eastAsia="Rubik" w:hAnsi="Rubik" w:cs="Rubik"/>
          <w:i/>
          <w:sz w:val="22"/>
          <w:szCs w:val="22"/>
        </w:rPr>
        <w:t>Bergamo, 20 giugno 2023 –</w:t>
      </w:r>
      <w:r w:rsidRPr="00AC4ECF">
        <w:rPr>
          <w:rFonts w:ascii="Rubik" w:hAnsi="Rubik" w:cs="Rubik"/>
          <w:sz w:val="22"/>
          <w:szCs w:val="22"/>
        </w:rPr>
        <w:t xml:space="preserve"> Venerdì 23 giugno 2023, presso la Cascina Mulino, sarà inaugurata la mostra </w:t>
      </w:r>
      <w:r w:rsidRPr="00AC4ECF">
        <w:rPr>
          <w:rFonts w:ascii="Rubik" w:hAnsi="Rubik" w:cs="Rubik"/>
          <w:b/>
          <w:bCs/>
          <w:i/>
          <w:iCs/>
          <w:sz w:val="22"/>
          <w:szCs w:val="22"/>
        </w:rPr>
        <w:t>"</w:t>
      </w:r>
      <w:proofErr w:type="spellStart"/>
      <w:r w:rsidRPr="00AC4ECF">
        <w:rPr>
          <w:rFonts w:ascii="Rubik" w:hAnsi="Rubik" w:cs="Rubik"/>
          <w:b/>
          <w:bCs/>
          <w:i/>
          <w:iCs/>
          <w:sz w:val="22"/>
          <w:szCs w:val="22"/>
        </w:rPr>
        <w:t>WeGeoPlan</w:t>
      </w:r>
      <w:proofErr w:type="spellEnd"/>
      <w:r w:rsidRPr="00AC4ECF">
        <w:rPr>
          <w:rFonts w:ascii="Rubik" w:hAnsi="Rubik" w:cs="Rubik"/>
          <w:b/>
          <w:bCs/>
          <w:i/>
          <w:iCs/>
          <w:sz w:val="22"/>
          <w:szCs w:val="22"/>
        </w:rPr>
        <w:t>: gli studenti di Geourbanistica per il futuro della Valle di Astino"</w:t>
      </w:r>
      <w:r w:rsidR="00B8424A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c</w:t>
      </w:r>
      <w:r w:rsidRPr="00AC4ECF">
        <w:rPr>
          <w:rFonts w:ascii="Rubik" w:hAnsi="Rubik" w:cs="Rubik"/>
          <w:sz w:val="22"/>
          <w:szCs w:val="22"/>
        </w:rPr>
        <w:t xml:space="preserve">he 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presenta i risultati dei project work guidati in maniera corale dai docenti e dagli esercitatori della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Laurea magistrale in </w:t>
      </w:r>
      <w:r w:rsidRPr="00AC4ECF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Geourbanistica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 dell’Università degli studi di Bergamo</w:t>
      </w:r>
      <w:r w:rsidR="00B8424A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, 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anche tramite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attività di internazionalizzazione "diffusa"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con docenti dell'Ecole </w:t>
      </w:r>
      <w:proofErr w:type="spellStart"/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>Urbaine</w:t>
      </w:r>
      <w:proofErr w:type="spellEnd"/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de Lyon-Université Lyon2, della Harvard University-Graduate School of Design, del CDRC-University College London e del Harvard University-Department of History e realizzati con entusiasmo dalle studentesse e dagli studenti durante l'anno accademico 2022/23.</w:t>
      </w:r>
    </w:p>
    <w:p w14:paraId="6374CCAB" w14:textId="77777777" w:rsidR="00AC4ECF" w:rsidRPr="00AC4ECF" w:rsidRDefault="00AC4ECF" w:rsidP="00AC4ECF">
      <w:pPr>
        <w:jc w:val="both"/>
        <w:rPr>
          <w:rFonts w:ascii="Rubik" w:hAnsi="Rubik" w:cs="Rubik"/>
          <w:color w:val="222222"/>
          <w:sz w:val="22"/>
          <w:szCs w:val="22"/>
          <w:shd w:val="clear" w:color="auto" w:fill="FFFFFF"/>
        </w:rPr>
      </w:pPr>
    </w:p>
    <w:p w14:paraId="388DB532" w14:textId="1AB564DD" w:rsid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sz w:val="22"/>
          <w:szCs w:val="22"/>
        </w:rPr>
        <w:t xml:space="preserve">La giornata </w:t>
      </w:r>
      <w:r w:rsidR="00B8424A">
        <w:rPr>
          <w:rFonts w:ascii="Rubik" w:hAnsi="Rubik" w:cs="Rubik"/>
          <w:sz w:val="22"/>
          <w:szCs w:val="22"/>
        </w:rPr>
        <w:t xml:space="preserve">di venerdì </w:t>
      </w:r>
      <w:r w:rsidRPr="00AC4ECF">
        <w:rPr>
          <w:rFonts w:ascii="Rubik" w:hAnsi="Rubik" w:cs="Rubik"/>
          <w:sz w:val="22"/>
          <w:szCs w:val="22"/>
        </w:rPr>
        <w:t>si apr</w:t>
      </w:r>
      <w:r w:rsidR="00B8424A">
        <w:rPr>
          <w:rFonts w:ascii="Rubik" w:hAnsi="Rubik" w:cs="Rubik"/>
          <w:sz w:val="22"/>
          <w:szCs w:val="22"/>
        </w:rPr>
        <w:t>irà</w:t>
      </w:r>
      <w:r w:rsidRPr="00AC4ECF">
        <w:rPr>
          <w:rFonts w:ascii="Rubik" w:hAnsi="Rubik" w:cs="Rubik"/>
          <w:sz w:val="22"/>
          <w:szCs w:val="22"/>
        </w:rPr>
        <w:t xml:space="preserve"> con una </w:t>
      </w:r>
      <w:r w:rsidRPr="00AC4ECF">
        <w:rPr>
          <w:rFonts w:ascii="Rubik" w:hAnsi="Rubik" w:cs="Rubik"/>
          <w:b/>
          <w:bCs/>
          <w:sz w:val="22"/>
          <w:szCs w:val="22"/>
        </w:rPr>
        <w:t>passeggiata da Città Alta alla Valle di Astino</w:t>
      </w:r>
      <w:r w:rsidR="00B8424A">
        <w:rPr>
          <w:rFonts w:ascii="Rubik" w:hAnsi="Rubik" w:cs="Rubik"/>
          <w:sz w:val="22"/>
          <w:szCs w:val="22"/>
        </w:rPr>
        <w:t xml:space="preserve">, </w:t>
      </w:r>
      <w:r w:rsidRPr="00AC4ECF">
        <w:rPr>
          <w:rFonts w:ascii="Rubik" w:hAnsi="Rubik" w:cs="Rubik"/>
          <w:sz w:val="22"/>
          <w:szCs w:val="22"/>
        </w:rPr>
        <w:t xml:space="preserve">per esperire in maniera lenta le processualità delle dinamiche culturali e naturali dell’“aula territoriale” in cui è incastonata la Valle della biodiversità. Arrivati al Monastero di </w:t>
      </w:r>
      <w:r w:rsidRPr="009F1F8F">
        <w:rPr>
          <w:rFonts w:ascii="Rubik" w:hAnsi="Rubik" w:cs="Rubik"/>
          <w:sz w:val="22"/>
          <w:szCs w:val="22"/>
        </w:rPr>
        <w:t xml:space="preserve">Astino, </w:t>
      </w:r>
      <w:r w:rsidR="00FF53EB" w:rsidRPr="009F1F8F">
        <w:rPr>
          <w:rFonts w:ascii="Rubik" w:hAnsi="Rubik" w:cs="Rubik"/>
          <w:sz w:val="22"/>
          <w:szCs w:val="22"/>
        </w:rPr>
        <w:t xml:space="preserve">si terranno gli interventi </w:t>
      </w:r>
      <w:r w:rsidRPr="009F1F8F">
        <w:rPr>
          <w:rFonts w:ascii="Rubik" w:hAnsi="Rubik" w:cs="Rubik"/>
          <w:sz w:val="22"/>
          <w:szCs w:val="22"/>
        </w:rPr>
        <w:t xml:space="preserve">del Direttore del </w:t>
      </w:r>
      <w:r w:rsidRPr="009F1F8F">
        <w:rPr>
          <w:rFonts w:ascii="Rubik" w:hAnsi="Rubik" w:cs="Rubik"/>
          <w:b/>
          <w:bCs/>
          <w:sz w:val="22"/>
          <w:szCs w:val="22"/>
        </w:rPr>
        <w:t>Centro  Studi sul Territorio “Lelio Pagani”</w:t>
      </w:r>
      <w:r w:rsidRPr="009F1F8F">
        <w:rPr>
          <w:rFonts w:ascii="Rubik" w:hAnsi="Rubik" w:cs="Rubik"/>
          <w:sz w:val="22"/>
          <w:szCs w:val="22"/>
        </w:rPr>
        <w:t xml:space="preserve"> (prof. Fulvio Adobati) che ha promosso l’evento di </w:t>
      </w:r>
      <w:r w:rsidRPr="009F1F8F">
        <w:rPr>
          <w:rFonts w:ascii="Rubik" w:hAnsi="Rubik" w:cs="Rubik"/>
          <w:i/>
          <w:iCs/>
          <w:sz w:val="22"/>
          <w:szCs w:val="22"/>
        </w:rPr>
        <w:t>public engagement</w:t>
      </w:r>
      <w:r w:rsidRPr="009F1F8F">
        <w:rPr>
          <w:rFonts w:ascii="Rubik" w:hAnsi="Rubik" w:cs="Rubik"/>
          <w:sz w:val="22"/>
          <w:szCs w:val="22"/>
        </w:rPr>
        <w:t xml:space="preserve"> dell’Università degli studi di </w:t>
      </w:r>
      <w:r w:rsidRPr="00AC4ECF">
        <w:rPr>
          <w:rFonts w:ascii="Rubik" w:hAnsi="Rubik" w:cs="Rubik"/>
          <w:sz w:val="22"/>
          <w:szCs w:val="22"/>
        </w:rPr>
        <w:t xml:space="preserve">Bergamo, e dei tre Direttori dei </w:t>
      </w:r>
      <w:r w:rsidRPr="00AC4ECF">
        <w:rPr>
          <w:rFonts w:ascii="Rubik" w:hAnsi="Rubik" w:cs="Rubik"/>
          <w:b/>
          <w:bCs/>
          <w:sz w:val="22"/>
          <w:szCs w:val="22"/>
        </w:rPr>
        <w:t>Dipartimenti di Lingue, Letterature e Culture Straniere</w:t>
      </w:r>
      <w:r w:rsidRPr="00AC4ECF">
        <w:rPr>
          <w:rFonts w:ascii="Rubik" w:hAnsi="Rubik" w:cs="Rubik"/>
          <w:sz w:val="22"/>
          <w:szCs w:val="22"/>
        </w:rPr>
        <w:t xml:space="preserve"> (prof.ssa Rossana Bonadei), di </w:t>
      </w:r>
      <w:r w:rsidRPr="00AC4ECF">
        <w:rPr>
          <w:rFonts w:ascii="Rubik" w:hAnsi="Rubik" w:cs="Rubik"/>
          <w:b/>
          <w:bCs/>
          <w:sz w:val="22"/>
          <w:szCs w:val="22"/>
        </w:rPr>
        <w:t xml:space="preserve">Ingegneria e Scienze Applicate </w:t>
      </w:r>
      <w:r w:rsidRPr="00AC4ECF">
        <w:rPr>
          <w:rFonts w:ascii="Rubik" w:hAnsi="Rubik" w:cs="Rubik"/>
          <w:sz w:val="22"/>
          <w:szCs w:val="22"/>
        </w:rPr>
        <w:t xml:space="preserve">(prof.ssa Giovanna Barigozzi) e di </w:t>
      </w:r>
      <w:r w:rsidRPr="00AC4ECF">
        <w:rPr>
          <w:rFonts w:ascii="Rubik" w:hAnsi="Rubik" w:cs="Rubik"/>
          <w:b/>
          <w:bCs/>
          <w:sz w:val="22"/>
          <w:szCs w:val="22"/>
        </w:rPr>
        <w:t>Lettere Filosofia, Comunicazione</w:t>
      </w:r>
      <w:r w:rsidRPr="00AC4ECF">
        <w:rPr>
          <w:rFonts w:ascii="Rubik" w:hAnsi="Rubik" w:cs="Rubik"/>
          <w:sz w:val="22"/>
          <w:szCs w:val="22"/>
        </w:rPr>
        <w:t xml:space="preserve"> (prof. Alfredo Paternoster) che condividono il progetto formativo transdisciplinare della Laurea magistrale in Geourbanistica. Quindi, i</w:t>
      </w:r>
      <w:r w:rsidRPr="00AC4ECF">
        <w:rPr>
          <w:rFonts w:ascii="Rubik" w:hAnsi="Rubik" w:cs="Rubik"/>
          <w:b/>
          <w:bCs/>
          <w:sz w:val="22"/>
          <w:szCs w:val="22"/>
        </w:rPr>
        <w:t xml:space="preserve"> docenti</w:t>
      </w:r>
      <w:r w:rsidRPr="00AC4ECF">
        <w:rPr>
          <w:rFonts w:ascii="Rubik" w:hAnsi="Rubik" w:cs="Rubik"/>
          <w:sz w:val="22"/>
          <w:szCs w:val="22"/>
        </w:rPr>
        <w:t xml:space="preserve"> di Geourbanistica introdu</w:t>
      </w:r>
      <w:r w:rsidR="00B8424A">
        <w:rPr>
          <w:rFonts w:ascii="Rubik" w:hAnsi="Rubik" w:cs="Rubik"/>
          <w:sz w:val="22"/>
          <w:szCs w:val="22"/>
        </w:rPr>
        <w:t>rran</w:t>
      </w:r>
      <w:r w:rsidRPr="00AC4ECF">
        <w:rPr>
          <w:rFonts w:ascii="Rubik" w:hAnsi="Rubik" w:cs="Rubik"/>
          <w:sz w:val="22"/>
          <w:szCs w:val="22"/>
        </w:rPr>
        <w:t>no le attività dei project work insieme a un docente della Harvard University-Graduate School of Design; è poi prevista la visita alla mostra presso la Cascina Mulino di Astino</w:t>
      </w:r>
      <w:r w:rsidR="00B8424A">
        <w:rPr>
          <w:rFonts w:ascii="Rubik" w:hAnsi="Rubik" w:cs="Rubik"/>
          <w:sz w:val="22"/>
          <w:szCs w:val="22"/>
        </w:rPr>
        <w:t>,</w:t>
      </w:r>
      <w:r w:rsidRPr="00AC4ECF">
        <w:rPr>
          <w:rFonts w:ascii="Rubik" w:hAnsi="Rubik" w:cs="Rubik"/>
          <w:sz w:val="22"/>
          <w:szCs w:val="22"/>
        </w:rPr>
        <w:t xml:space="preserve"> guidata dalle </w:t>
      </w:r>
      <w:r w:rsidRPr="00AC4ECF">
        <w:rPr>
          <w:rFonts w:ascii="Rubik" w:hAnsi="Rubik" w:cs="Rubik"/>
          <w:b/>
          <w:bCs/>
          <w:sz w:val="22"/>
          <w:szCs w:val="22"/>
        </w:rPr>
        <w:t>studentesse e dagli studenti di Geourbanistica</w:t>
      </w:r>
      <w:r w:rsidRPr="00AC4ECF">
        <w:rPr>
          <w:rFonts w:ascii="Rubik" w:hAnsi="Rubik" w:cs="Rubik"/>
          <w:sz w:val="22"/>
          <w:szCs w:val="22"/>
        </w:rPr>
        <w:t xml:space="preserve"> insieme alle studentesse francesi che svolgono un programma di Doppio titolo con l’Université Lyon2. Infine, nel pomeriggio lo staff del CST-Imago Mundi Lab organizza </w:t>
      </w:r>
      <w:r w:rsidRPr="009F1F8F">
        <w:rPr>
          <w:rFonts w:ascii="Rubik" w:hAnsi="Rubik" w:cs="Rubik"/>
          <w:sz w:val="22"/>
          <w:szCs w:val="22"/>
        </w:rPr>
        <w:t xml:space="preserve">un laboratorio di mapping collaborativo </w:t>
      </w:r>
      <w:proofErr w:type="spellStart"/>
      <w:r w:rsidRPr="009F1F8F">
        <w:rPr>
          <w:rFonts w:ascii="Rubik" w:hAnsi="Rubik" w:cs="Rubik"/>
          <w:b/>
          <w:bCs/>
          <w:i/>
          <w:iCs/>
          <w:sz w:val="22"/>
          <w:szCs w:val="22"/>
        </w:rPr>
        <w:t>Mapathon</w:t>
      </w:r>
      <w:proofErr w:type="spellEnd"/>
      <w:r w:rsidRPr="009F1F8F">
        <w:rPr>
          <w:rFonts w:ascii="Rubik" w:hAnsi="Rubik" w:cs="Rubik"/>
          <w:b/>
          <w:bCs/>
          <w:i/>
          <w:iCs/>
          <w:sz w:val="22"/>
          <w:szCs w:val="22"/>
        </w:rPr>
        <w:t xml:space="preserve"> Astino</w:t>
      </w:r>
      <w:r w:rsidRPr="009F1F8F">
        <w:rPr>
          <w:rFonts w:ascii="Rubik" w:hAnsi="Rubik" w:cs="Rubik"/>
          <w:sz w:val="22"/>
          <w:szCs w:val="22"/>
        </w:rPr>
        <w:t xml:space="preserve"> aprendo le attività universitarie agli abitanti.</w:t>
      </w:r>
      <w:r w:rsidRPr="00AC4ECF">
        <w:rPr>
          <w:rFonts w:ascii="Rubik" w:hAnsi="Rubik" w:cs="Rubik"/>
          <w:sz w:val="22"/>
          <w:szCs w:val="22"/>
        </w:rPr>
        <w:t xml:space="preserve"> </w:t>
      </w:r>
    </w:p>
    <w:p w14:paraId="477916FC" w14:textId="77777777" w:rsidR="009F1F8F" w:rsidRDefault="009F1F8F" w:rsidP="00AC4ECF">
      <w:pPr>
        <w:jc w:val="both"/>
        <w:rPr>
          <w:rFonts w:ascii="Rubik" w:hAnsi="Rubik" w:cs="Rubik"/>
          <w:sz w:val="22"/>
          <w:szCs w:val="22"/>
        </w:rPr>
      </w:pPr>
    </w:p>
    <w:p w14:paraId="62A85C2D" w14:textId="715D09CF" w:rsid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La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mostra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è suddivisa in cinque sezioni. La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prima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presenta la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Laurea Magistrale in Geourbanistica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, basata su metodologie di </w:t>
      </w:r>
      <w:r w:rsidRPr="00AC4ECF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collaborative learning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volte a rendere lo studente protagonista del proprio percorso formativo e culturale </w:t>
      </w:r>
      <w:r w:rsidRPr="00FF53E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attraverso: </w:t>
      </w:r>
      <w:r w:rsidRPr="00FF53EB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project work transdisciplinari</w:t>
      </w:r>
      <w:r w:rsidRPr="00FF53E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; </w:t>
      </w:r>
      <w:r w:rsidRPr="00FF53EB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escursioni di terreno</w:t>
      </w:r>
      <w:r w:rsidRPr="00FF53EB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; attività di </w:t>
      </w:r>
      <w:r w:rsidRPr="00FF53EB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internazionalizzazione “diffusa”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. La </w:t>
      </w:r>
      <w:r w:rsidRPr="00AC4ECF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seconda, la terza e la quarta sezione</w:t>
      </w:r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mostrano gli esiti dei lavori di gruppo svolti nell’anno accademico 2022/23 dalle studentesse e dagli studenti nei project work focalizzati sulla Valle di Astino-</w:t>
      </w:r>
      <w:proofErr w:type="spellStart"/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>Landscape</w:t>
      </w:r>
      <w:proofErr w:type="spellEnd"/>
      <w:r w:rsidRPr="00AC4ECF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Award 2021, con tre affondi: </w:t>
      </w:r>
      <w:r w:rsidRPr="00AC4ECF">
        <w:rPr>
          <w:rFonts w:ascii="Rubik" w:hAnsi="Rubik" w:cs="Rubik"/>
          <w:i/>
          <w:iCs/>
          <w:sz w:val="22"/>
          <w:szCs w:val="22"/>
        </w:rPr>
        <w:t>L’Antropocene tra uomo e natura: conoscere la Valle di Astino in una prospettiva reticolare europea</w:t>
      </w:r>
      <w:r w:rsidRPr="00AC4ECF">
        <w:rPr>
          <w:rFonts w:ascii="Rubik" w:hAnsi="Rubik" w:cs="Rubik"/>
          <w:sz w:val="22"/>
          <w:szCs w:val="22"/>
        </w:rPr>
        <w:t xml:space="preserve"> (coordinatrici: prof.ssa Alessandra Ghisalberti e prof.ssa Barbara Turchetta, Dipartimento di Lingue, Letterature e Culture Straniere); </w:t>
      </w:r>
      <w:r w:rsidRPr="00AC4ECF">
        <w:rPr>
          <w:rFonts w:ascii="Rubik" w:hAnsi="Rubik" w:cs="Rubik"/>
          <w:i/>
          <w:iCs/>
          <w:sz w:val="22"/>
          <w:szCs w:val="22"/>
        </w:rPr>
        <w:t>Il progetto per la cura dei luoghi: la Valle di Astino e il suo monastero come caso di studio</w:t>
      </w:r>
      <w:r w:rsidRPr="00AC4ECF">
        <w:rPr>
          <w:rFonts w:ascii="Rubik" w:hAnsi="Rubik" w:cs="Rubik"/>
          <w:sz w:val="22"/>
          <w:szCs w:val="22"/>
        </w:rPr>
        <w:t xml:space="preserve"> (coordinatori: prof. Emanuele Garda e prof. Stefan </w:t>
      </w:r>
      <w:proofErr w:type="spellStart"/>
      <w:r w:rsidRPr="00AC4ECF">
        <w:rPr>
          <w:rFonts w:ascii="Rubik" w:hAnsi="Rubik" w:cs="Rubik"/>
          <w:sz w:val="22"/>
          <w:szCs w:val="22"/>
        </w:rPr>
        <w:t>Vieths</w:t>
      </w:r>
      <w:proofErr w:type="spellEnd"/>
      <w:r w:rsidRPr="00AC4ECF">
        <w:rPr>
          <w:rFonts w:ascii="Rubik" w:hAnsi="Rubik" w:cs="Rubik"/>
          <w:sz w:val="22"/>
          <w:szCs w:val="22"/>
        </w:rPr>
        <w:t xml:space="preserve">, Dipartimento di Ingegneria e Scienze Applicate); </w:t>
      </w:r>
      <w:r w:rsidRPr="00AC4ECF">
        <w:rPr>
          <w:rFonts w:ascii="Rubik" w:hAnsi="Rubik" w:cs="Rubik"/>
          <w:i/>
          <w:iCs/>
          <w:sz w:val="22"/>
          <w:szCs w:val="22"/>
        </w:rPr>
        <w:t xml:space="preserve">Il paesaggio </w:t>
      </w:r>
      <w:proofErr w:type="spellStart"/>
      <w:r w:rsidRPr="00AC4ECF">
        <w:rPr>
          <w:rFonts w:ascii="Rubik" w:hAnsi="Rubik" w:cs="Rubik"/>
          <w:i/>
          <w:iCs/>
          <w:sz w:val="22"/>
          <w:szCs w:val="22"/>
        </w:rPr>
        <w:t>geostorico</w:t>
      </w:r>
      <w:proofErr w:type="spellEnd"/>
      <w:r w:rsidRPr="00AC4ECF">
        <w:rPr>
          <w:rFonts w:ascii="Rubik" w:hAnsi="Rubik" w:cs="Rubik"/>
          <w:i/>
          <w:iCs/>
          <w:sz w:val="22"/>
          <w:szCs w:val="22"/>
        </w:rPr>
        <w:t>: la rigenerazione e il futuro della Valle di Astino</w:t>
      </w:r>
      <w:r w:rsidRPr="00AC4ECF">
        <w:rPr>
          <w:rFonts w:ascii="Rubik" w:hAnsi="Rubik" w:cs="Rubik"/>
          <w:sz w:val="22"/>
          <w:szCs w:val="22"/>
        </w:rPr>
        <w:t xml:space="preserve"> (coordinatori: prof. Renato Ferlinghetti e prof. Riccardo Rao, Dipartimento di Lettere, Filosofia, Comunicazione). Infine, la </w:t>
      </w:r>
      <w:r w:rsidRPr="00AC4ECF">
        <w:rPr>
          <w:rFonts w:ascii="Rubik" w:hAnsi="Rubik" w:cs="Rubik"/>
          <w:b/>
          <w:bCs/>
          <w:sz w:val="22"/>
          <w:szCs w:val="22"/>
        </w:rPr>
        <w:t>quinta sezione</w:t>
      </w:r>
      <w:r w:rsidRPr="00AC4ECF">
        <w:rPr>
          <w:rFonts w:ascii="Rubik" w:hAnsi="Rubik" w:cs="Rubik"/>
          <w:sz w:val="22"/>
          <w:szCs w:val="22"/>
        </w:rPr>
        <w:t xml:space="preserve"> è dedicata ai </w:t>
      </w:r>
      <w:r w:rsidRPr="00AC4ECF">
        <w:rPr>
          <w:rFonts w:ascii="Rubik" w:hAnsi="Rubik" w:cs="Rubik"/>
          <w:b/>
          <w:bCs/>
          <w:sz w:val="22"/>
          <w:szCs w:val="22"/>
        </w:rPr>
        <w:t>video</w:t>
      </w:r>
      <w:r w:rsidRPr="00AC4ECF">
        <w:rPr>
          <w:rFonts w:ascii="Rubik" w:hAnsi="Rubik" w:cs="Rubik"/>
          <w:sz w:val="22"/>
          <w:szCs w:val="22"/>
        </w:rPr>
        <w:t xml:space="preserve"> e ai prodotti </w:t>
      </w:r>
      <w:r w:rsidRPr="00AC4ECF">
        <w:rPr>
          <w:rFonts w:ascii="Rubik" w:hAnsi="Rubik" w:cs="Rubik"/>
          <w:b/>
          <w:bCs/>
          <w:sz w:val="22"/>
          <w:szCs w:val="22"/>
        </w:rPr>
        <w:t>mapping</w:t>
      </w:r>
      <w:r w:rsidRPr="00AC4ECF">
        <w:rPr>
          <w:rFonts w:ascii="Rubik" w:hAnsi="Rubik" w:cs="Rubik"/>
          <w:sz w:val="22"/>
          <w:szCs w:val="22"/>
        </w:rPr>
        <w:t xml:space="preserve">, </w:t>
      </w:r>
      <w:r w:rsidRPr="00AC4ECF">
        <w:rPr>
          <w:rFonts w:ascii="Rubik" w:hAnsi="Rubik" w:cs="Rubik"/>
          <w:b/>
          <w:bCs/>
          <w:sz w:val="22"/>
          <w:szCs w:val="22"/>
        </w:rPr>
        <w:t>infografici</w:t>
      </w:r>
      <w:r w:rsidRPr="00AC4ECF">
        <w:rPr>
          <w:rFonts w:ascii="Rubik" w:hAnsi="Rubik" w:cs="Rubik"/>
          <w:sz w:val="22"/>
          <w:szCs w:val="22"/>
        </w:rPr>
        <w:t xml:space="preserve">, </w:t>
      </w:r>
      <w:r w:rsidRPr="00AC4ECF">
        <w:rPr>
          <w:rFonts w:ascii="Rubik" w:hAnsi="Rubik" w:cs="Rubik"/>
          <w:b/>
          <w:bCs/>
          <w:sz w:val="22"/>
          <w:szCs w:val="22"/>
        </w:rPr>
        <w:t>multimediali</w:t>
      </w:r>
      <w:r w:rsidRPr="00AC4ECF">
        <w:rPr>
          <w:rFonts w:ascii="Rubik" w:hAnsi="Rubik" w:cs="Rubik"/>
          <w:sz w:val="22"/>
          <w:szCs w:val="22"/>
        </w:rPr>
        <w:t xml:space="preserve"> e di </w:t>
      </w:r>
      <w:r w:rsidRPr="00AC4ECF">
        <w:rPr>
          <w:rFonts w:ascii="Rubik" w:hAnsi="Rubik" w:cs="Rubik"/>
          <w:b/>
          <w:bCs/>
          <w:sz w:val="22"/>
          <w:szCs w:val="22"/>
        </w:rPr>
        <w:t>realtà virtuale</w:t>
      </w:r>
      <w:r w:rsidRPr="00AC4ECF">
        <w:rPr>
          <w:rFonts w:ascii="Rubik" w:hAnsi="Rubik" w:cs="Rubik"/>
          <w:sz w:val="22"/>
          <w:szCs w:val="22"/>
        </w:rPr>
        <w:t xml:space="preserve"> realizzati dalle studentesse e dagli studenti tramite i laboratori didattici realizzati presso il </w:t>
      </w:r>
      <w:r w:rsidRPr="00AC4ECF">
        <w:rPr>
          <w:rFonts w:ascii="Rubik" w:hAnsi="Rubik" w:cs="Rubik"/>
          <w:b/>
          <w:bCs/>
          <w:sz w:val="22"/>
          <w:szCs w:val="22"/>
        </w:rPr>
        <w:t>CST-Imago Mundi Lab</w:t>
      </w:r>
      <w:r w:rsidRPr="00AC4ECF">
        <w:rPr>
          <w:rFonts w:ascii="Rubik" w:hAnsi="Rubik" w:cs="Rubik"/>
          <w:i/>
          <w:iCs/>
          <w:sz w:val="22"/>
          <w:szCs w:val="22"/>
        </w:rPr>
        <w:t xml:space="preserve"> </w:t>
      </w:r>
      <w:r w:rsidRPr="00AC4ECF">
        <w:rPr>
          <w:rFonts w:ascii="Rubik" w:hAnsi="Rubik" w:cs="Rubik"/>
          <w:sz w:val="22"/>
          <w:szCs w:val="22"/>
        </w:rPr>
        <w:t xml:space="preserve">(responsabile </w:t>
      </w:r>
      <w:r w:rsidRPr="00AC4ECF">
        <w:rPr>
          <w:rFonts w:ascii="Rubik" w:hAnsi="Rubik" w:cs="Rubik"/>
          <w:sz w:val="22"/>
          <w:szCs w:val="22"/>
        </w:rPr>
        <w:lastRenderedPageBreak/>
        <w:t xml:space="preserve">scientifica: prof.ssa Federica Burini) quali strumenti utili a restituire, in modo accattivante e coinvolgente, le rappresentazioni degli immaginari del mondo con il coinvolgimento degli abitanti. </w:t>
      </w:r>
    </w:p>
    <w:p w14:paraId="0DEC1609" w14:textId="77777777" w:rsidR="00B8424A" w:rsidRPr="00AC4ECF" w:rsidRDefault="00B8424A" w:rsidP="00AC4ECF">
      <w:pPr>
        <w:jc w:val="both"/>
        <w:rPr>
          <w:rFonts w:ascii="Rubik" w:hAnsi="Rubik" w:cs="Rubik"/>
          <w:sz w:val="22"/>
          <w:szCs w:val="22"/>
        </w:rPr>
      </w:pPr>
    </w:p>
    <w:p w14:paraId="422BBC99" w14:textId="35160008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sz w:val="22"/>
          <w:szCs w:val="22"/>
        </w:rPr>
        <w:t>Si tratta di una mostra itinerante in quanto rimarrà ad Astino fino all’8 luglio e in autunno sarà esposta presso il Dipartimento di Ingegneria e Scienze applicate a Dalmine, quindi presso il Dipartimento di Lettere, Filosofia, Comunicazione in via Pignolo, infine giungerà nella sede di via Salvecchio dove rimarrà come allestimento permanente del Dipartimento di Lingue, Letterature e Culture straniere.</w:t>
      </w:r>
    </w:p>
    <w:p w14:paraId="22EF1239" w14:textId="77777777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</w:p>
    <w:p w14:paraId="489AE9FA" w14:textId="77777777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sz w:val="22"/>
          <w:szCs w:val="22"/>
        </w:rPr>
        <w:t xml:space="preserve">Il progetto della mostra itinerante è finanziato nell’ambito del bando di Ateneo per iniziative di Public Engagement. </w:t>
      </w:r>
    </w:p>
    <w:p w14:paraId="654A28CD" w14:textId="77777777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</w:p>
    <w:p w14:paraId="690C362F" w14:textId="77777777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sz w:val="22"/>
          <w:szCs w:val="22"/>
        </w:rPr>
        <w:t xml:space="preserve">Per maggiori informazioni: </w:t>
      </w:r>
      <w:hyperlink r:id="rId9" w:history="1">
        <w:r w:rsidRPr="00AC4ECF">
          <w:rPr>
            <w:rStyle w:val="Collegamentoipertestuale"/>
            <w:rFonts w:ascii="Rubik" w:hAnsi="Rubik" w:cs="Rubik"/>
            <w:sz w:val="22"/>
            <w:szCs w:val="22"/>
          </w:rPr>
          <w:t>https://cst.unibg.it/it/attivita-e-eventi/public-engagement</w:t>
        </w:r>
      </w:hyperlink>
    </w:p>
    <w:p w14:paraId="148790A1" w14:textId="77777777" w:rsidR="00AC4ECF" w:rsidRPr="00AC4ECF" w:rsidRDefault="00AC4ECF" w:rsidP="00AC4ECF">
      <w:pPr>
        <w:jc w:val="both"/>
        <w:rPr>
          <w:rFonts w:ascii="Rubik" w:hAnsi="Rubik" w:cs="Rubik"/>
          <w:sz w:val="22"/>
          <w:szCs w:val="22"/>
        </w:rPr>
      </w:pPr>
    </w:p>
    <w:p w14:paraId="1BCF6E2B" w14:textId="43922822" w:rsidR="0017493A" w:rsidRPr="008953A3" w:rsidRDefault="00AC4ECF" w:rsidP="0017493A">
      <w:pPr>
        <w:jc w:val="both"/>
        <w:rPr>
          <w:rFonts w:ascii="Rubik" w:hAnsi="Rubik" w:cs="Rubik"/>
          <w:sz w:val="22"/>
          <w:szCs w:val="22"/>
        </w:rPr>
      </w:pPr>
      <w:r w:rsidRPr="00AC4ECF">
        <w:rPr>
          <w:rFonts w:ascii="Rubik" w:hAnsi="Rubik" w:cs="Rubik"/>
          <w:sz w:val="22"/>
          <w:szCs w:val="22"/>
        </w:rPr>
        <w:t xml:space="preserve">Contatti: </w:t>
      </w:r>
      <w:hyperlink r:id="rId10" w:history="1">
        <w:r w:rsidRPr="00AC4ECF">
          <w:rPr>
            <w:rStyle w:val="Collegamentoipertestuale"/>
            <w:rFonts w:ascii="Rubik" w:hAnsi="Rubik" w:cs="Rubik"/>
            <w:sz w:val="22"/>
            <w:szCs w:val="22"/>
          </w:rPr>
          <w:t>alessandra.ghisalberti@unibg.it</w:t>
        </w:r>
      </w:hyperlink>
      <w:r w:rsidRPr="00AC4ECF">
        <w:rPr>
          <w:rFonts w:ascii="Rubik" w:hAnsi="Rubik" w:cs="Rubik"/>
          <w:sz w:val="22"/>
          <w:szCs w:val="22"/>
        </w:rPr>
        <w:t xml:space="preserve"> </w:t>
      </w:r>
    </w:p>
    <w:sectPr w:rsidR="0017493A" w:rsidRPr="008953A3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5107" w14:textId="77777777" w:rsidR="00644F19" w:rsidRDefault="00644F19">
      <w:r>
        <w:separator/>
      </w:r>
    </w:p>
  </w:endnote>
  <w:endnote w:type="continuationSeparator" w:id="0">
    <w:p w14:paraId="6FB620B3" w14:textId="77777777" w:rsidR="00644F19" w:rsidRDefault="0064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4FC4" w14:textId="77777777" w:rsidR="00644F19" w:rsidRDefault="00644F19">
      <w:r>
        <w:separator/>
      </w:r>
    </w:p>
  </w:footnote>
  <w:footnote w:type="continuationSeparator" w:id="0">
    <w:p w14:paraId="5B4572E4" w14:textId="77777777" w:rsidR="00644F19" w:rsidRDefault="0064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6C04"/>
    <w:rsid w:val="00103B96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266D1"/>
    <w:rsid w:val="00245167"/>
    <w:rsid w:val="0025485F"/>
    <w:rsid w:val="002640B0"/>
    <w:rsid w:val="00271BE8"/>
    <w:rsid w:val="00284CA6"/>
    <w:rsid w:val="002A7937"/>
    <w:rsid w:val="002B5C64"/>
    <w:rsid w:val="002D0697"/>
    <w:rsid w:val="002E3E77"/>
    <w:rsid w:val="002E4361"/>
    <w:rsid w:val="002E4DA9"/>
    <w:rsid w:val="00317B14"/>
    <w:rsid w:val="003243D6"/>
    <w:rsid w:val="003605F2"/>
    <w:rsid w:val="00393E25"/>
    <w:rsid w:val="003A19A4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575179"/>
    <w:rsid w:val="005762C2"/>
    <w:rsid w:val="0058734C"/>
    <w:rsid w:val="005B42D2"/>
    <w:rsid w:val="00643C3F"/>
    <w:rsid w:val="00644F19"/>
    <w:rsid w:val="006C372E"/>
    <w:rsid w:val="006C58F4"/>
    <w:rsid w:val="006F4D9F"/>
    <w:rsid w:val="007135A3"/>
    <w:rsid w:val="007247DB"/>
    <w:rsid w:val="00737D94"/>
    <w:rsid w:val="007542A1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947"/>
    <w:rsid w:val="00943013"/>
    <w:rsid w:val="009C2DF4"/>
    <w:rsid w:val="009D536F"/>
    <w:rsid w:val="009F1F8F"/>
    <w:rsid w:val="009F5BC3"/>
    <w:rsid w:val="00A61283"/>
    <w:rsid w:val="00A95869"/>
    <w:rsid w:val="00AA1DBF"/>
    <w:rsid w:val="00AC4C9E"/>
    <w:rsid w:val="00AC4ECF"/>
    <w:rsid w:val="00B303AF"/>
    <w:rsid w:val="00B624E0"/>
    <w:rsid w:val="00B8424A"/>
    <w:rsid w:val="00BC42D5"/>
    <w:rsid w:val="00C02775"/>
    <w:rsid w:val="00C740AF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805FF"/>
    <w:rsid w:val="00FA38B4"/>
    <w:rsid w:val="00FD4E96"/>
    <w:rsid w:val="00FD4E9C"/>
    <w:rsid w:val="00FE5789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essandra.ghisalberti@unibg.it" TargetMode="External"/><Relationship Id="rId4" Type="http://schemas.openxmlformats.org/officeDocument/2006/relationships/styles" Target="styles.xml"/><Relationship Id="rId9" Type="http://schemas.openxmlformats.org/officeDocument/2006/relationships/hyperlink" Target="https://cst.unibg.it/it/attivita-e-eventi/public-engagemen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27</cp:revision>
  <dcterms:created xsi:type="dcterms:W3CDTF">2023-01-23T08:26:00Z</dcterms:created>
  <dcterms:modified xsi:type="dcterms:W3CDTF">2023-06-20T08:10:00Z</dcterms:modified>
</cp:coreProperties>
</file>