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D402" w14:textId="1DE6BEEC" w:rsidR="003E69C2" w:rsidRPr="00493F3D" w:rsidRDefault="00000000">
      <w:pPr>
        <w:spacing w:before="240"/>
        <w:jc w:val="center"/>
        <w:rPr>
          <w:b/>
          <w:color w:val="FF6600"/>
          <w:sz w:val="44"/>
          <w:szCs w:val="44"/>
          <w:lang w:val="en-GB"/>
        </w:rPr>
      </w:pPr>
      <w:r w:rsidRPr="00493F3D">
        <w:rPr>
          <w:b/>
          <w:color w:val="FF6600"/>
          <w:sz w:val="44"/>
          <w:szCs w:val="44"/>
          <w:lang w:val="en-GB"/>
        </w:rPr>
        <w:t>XX ASAP SERVICE MANAGEMENT FORUM</w:t>
      </w:r>
    </w:p>
    <w:p w14:paraId="16A8100B" w14:textId="77777777" w:rsidR="003E69C2" w:rsidRPr="00493F3D" w:rsidRDefault="00000000">
      <w:pPr>
        <w:jc w:val="center"/>
        <w:rPr>
          <w:b/>
          <w:color w:val="FF6600"/>
          <w:sz w:val="44"/>
          <w:szCs w:val="44"/>
          <w:lang w:val="en-GB"/>
        </w:rPr>
      </w:pPr>
      <w:r w:rsidRPr="00493F3D">
        <w:rPr>
          <w:b/>
          <w:color w:val="FF6600"/>
          <w:sz w:val="44"/>
          <w:szCs w:val="44"/>
          <w:lang w:val="en-GB"/>
        </w:rPr>
        <w:t>“Servitization and Beyond: Explaining the Transformation”</w:t>
      </w:r>
    </w:p>
    <w:p w14:paraId="487C3C21" w14:textId="77777777" w:rsidR="003E69C2" w:rsidRPr="00493F3D" w:rsidRDefault="003E69C2">
      <w:pPr>
        <w:jc w:val="center"/>
        <w:rPr>
          <w:b/>
          <w:color w:val="7F7F7F"/>
          <w:sz w:val="40"/>
          <w:szCs w:val="40"/>
          <w:lang w:val="en-GB"/>
        </w:rPr>
      </w:pPr>
    </w:p>
    <w:p w14:paraId="611B986D" w14:textId="7D818B31" w:rsidR="003E69C2" w:rsidRDefault="0000000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16-17 </w:t>
      </w:r>
      <w:r w:rsidR="009F713E">
        <w:rPr>
          <w:b/>
          <w:color w:val="000000"/>
          <w:sz w:val="32"/>
          <w:szCs w:val="32"/>
        </w:rPr>
        <w:t>novembre</w:t>
      </w:r>
      <w:r>
        <w:rPr>
          <w:b/>
          <w:color w:val="000000"/>
          <w:sz w:val="32"/>
          <w:szCs w:val="32"/>
        </w:rPr>
        <w:t xml:space="preserve"> 2023</w:t>
      </w:r>
    </w:p>
    <w:p w14:paraId="7AB370A6" w14:textId="77777777" w:rsidR="003E69C2" w:rsidRDefault="00000000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Sede di Sant’Agostino | Piazzale Sant’Agostino | Bergamo</w:t>
      </w:r>
    </w:p>
    <w:p w14:paraId="50F59574" w14:textId="77777777" w:rsidR="003E69C2" w:rsidRDefault="003E69C2">
      <w:pPr>
        <w:tabs>
          <w:tab w:val="left" w:pos="5402"/>
        </w:tabs>
        <w:rPr>
          <w:b/>
          <w:color w:val="FF6600"/>
          <w:sz w:val="28"/>
          <w:szCs w:val="28"/>
        </w:rPr>
      </w:pPr>
    </w:p>
    <w:p w14:paraId="7873546F" w14:textId="77777777" w:rsidR="003E69C2" w:rsidRDefault="00000000">
      <w:pPr>
        <w:jc w:val="center"/>
        <w:rPr>
          <w:b/>
          <w:color w:val="FF6600"/>
          <w:sz w:val="40"/>
          <w:szCs w:val="40"/>
        </w:rPr>
      </w:pPr>
      <w:r>
        <w:rPr>
          <w:b/>
          <w:color w:val="FF6600"/>
          <w:sz w:val="40"/>
          <w:szCs w:val="40"/>
        </w:rPr>
        <w:t>Comunicato stampa</w:t>
      </w:r>
    </w:p>
    <w:p w14:paraId="7B7B2998" w14:textId="77777777" w:rsidR="003E69C2" w:rsidRDefault="003E69C2">
      <w:pPr>
        <w:jc w:val="center"/>
      </w:pPr>
    </w:p>
    <w:p w14:paraId="3EF7B56A" w14:textId="66D323A7" w:rsidR="003E69C2" w:rsidRDefault="009F713E">
      <w:pPr>
        <w:jc w:val="right"/>
        <w:rPr>
          <w:i/>
          <w:color w:val="7F7F7F"/>
          <w:sz w:val="22"/>
          <w:szCs w:val="22"/>
        </w:rPr>
      </w:pPr>
      <w:r>
        <w:rPr>
          <w:i/>
          <w:color w:val="7F7F7F"/>
          <w:sz w:val="22"/>
          <w:szCs w:val="22"/>
        </w:rPr>
        <w:t>9 novembre</w:t>
      </w:r>
      <w:r w:rsidR="00060A43">
        <w:rPr>
          <w:i/>
          <w:color w:val="7F7F7F"/>
          <w:sz w:val="22"/>
          <w:szCs w:val="22"/>
        </w:rPr>
        <w:t xml:space="preserve"> 2023</w:t>
      </w:r>
    </w:p>
    <w:p w14:paraId="3FF76D76" w14:textId="77777777" w:rsidR="003E69C2" w:rsidRDefault="003E69C2"/>
    <w:p w14:paraId="74F798FE" w14:textId="77777777" w:rsidR="00060A43" w:rsidRPr="00060A43" w:rsidRDefault="00060A43" w:rsidP="009F7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eastAsia="Arial"/>
          <w:color w:val="000000"/>
        </w:rPr>
      </w:pPr>
      <w:r w:rsidRPr="009F713E">
        <w:rPr>
          <w:rFonts w:eastAsia="Arial"/>
          <w:b/>
          <w:bCs/>
          <w:color w:val="000000"/>
        </w:rPr>
        <w:t>Ricercatori, esperti internazionali e manager</w:t>
      </w:r>
      <w:r w:rsidRPr="00060A43">
        <w:rPr>
          <w:rFonts w:eastAsia="Arial"/>
          <w:color w:val="000000"/>
        </w:rPr>
        <w:t xml:space="preserve"> dell'industria si riuniranno a </w:t>
      </w:r>
      <w:r w:rsidRPr="009F713E">
        <w:rPr>
          <w:rFonts w:eastAsia="Arial"/>
          <w:b/>
          <w:bCs/>
          <w:color w:val="000000"/>
        </w:rPr>
        <w:t>Bergamo</w:t>
      </w:r>
      <w:r w:rsidRPr="00060A43">
        <w:rPr>
          <w:rFonts w:eastAsia="Arial"/>
          <w:color w:val="000000"/>
        </w:rPr>
        <w:t xml:space="preserve"> il 16 e 17 novembre per la </w:t>
      </w:r>
      <w:proofErr w:type="gramStart"/>
      <w:r w:rsidRPr="009F713E">
        <w:rPr>
          <w:rFonts w:eastAsia="Arial"/>
          <w:b/>
          <w:bCs/>
          <w:color w:val="000000"/>
        </w:rPr>
        <w:t>20ª</w:t>
      </w:r>
      <w:proofErr w:type="gramEnd"/>
      <w:r w:rsidRPr="009F713E">
        <w:rPr>
          <w:rFonts w:eastAsia="Arial"/>
          <w:b/>
          <w:bCs/>
          <w:color w:val="000000"/>
        </w:rPr>
        <w:t xml:space="preserve"> edizione della ASAP Forum</w:t>
      </w:r>
      <w:r w:rsidRPr="00060A43">
        <w:rPr>
          <w:rFonts w:eastAsia="Arial"/>
          <w:color w:val="000000"/>
        </w:rPr>
        <w:t xml:space="preserve">. L'obiettivo è condividere esperienze e tracciare le evoluzioni di un fenomeno che sta cambiando il mondo manifatturiero: la </w:t>
      </w:r>
      <w:r w:rsidRPr="009F713E">
        <w:rPr>
          <w:rFonts w:eastAsia="Arial"/>
          <w:b/>
          <w:bCs/>
          <w:color w:val="000000"/>
        </w:rPr>
        <w:t>servitizzazione</w:t>
      </w:r>
      <w:r w:rsidRPr="00060A43">
        <w:rPr>
          <w:rFonts w:eastAsia="Arial"/>
          <w:color w:val="000000"/>
        </w:rPr>
        <w:t>.</w:t>
      </w:r>
    </w:p>
    <w:p w14:paraId="59B5404F" w14:textId="6133217B" w:rsidR="00060A43" w:rsidRPr="00060A43" w:rsidRDefault="00341B2F" w:rsidP="009F7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Per competere nel turbolento e volatile contesto </w:t>
      </w:r>
      <w:r w:rsidR="000E39AD">
        <w:rPr>
          <w:rFonts w:eastAsia="Arial"/>
          <w:color w:val="000000"/>
        </w:rPr>
        <w:t>economico, infatti</w:t>
      </w:r>
      <w:r>
        <w:rPr>
          <w:rFonts w:eastAsia="Arial"/>
          <w:color w:val="000000"/>
        </w:rPr>
        <w:t xml:space="preserve">, un numero sempre crescente di imprese si trovano ad affiancare alla tradizionale </w:t>
      </w:r>
      <w:r w:rsidRPr="009F713E">
        <w:rPr>
          <w:rFonts w:eastAsia="Arial"/>
          <w:color w:val="000000"/>
        </w:rPr>
        <w:t>vendita di prodotti</w:t>
      </w:r>
      <w:r>
        <w:rPr>
          <w:rFonts w:eastAsia="Arial"/>
          <w:color w:val="000000"/>
        </w:rPr>
        <w:t xml:space="preserve">, la </w:t>
      </w:r>
      <w:r w:rsidRPr="009F713E">
        <w:rPr>
          <w:rFonts w:eastAsia="Arial"/>
          <w:b/>
          <w:bCs/>
          <w:color w:val="000000"/>
        </w:rPr>
        <w:t>vendita di servizi sempre più complessi</w:t>
      </w:r>
      <w:r>
        <w:rPr>
          <w:rFonts w:eastAsia="Arial"/>
          <w:color w:val="000000"/>
        </w:rPr>
        <w:t xml:space="preserve"> </w:t>
      </w:r>
      <w:r w:rsidR="00060A43" w:rsidRPr="00060A43">
        <w:rPr>
          <w:rFonts w:eastAsia="Arial"/>
          <w:color w:val="000000"/>
        </w:rPr>
        <w:t>che miglior</w:t>
      </w:r>
      <w:r>
        <w:rPr>
          <w:rFonts w:eastAsia="Arial"/>
          <w:color w:val="000000"/>
        </w:rPr>
        <w:t>a</w:t>
      </w:r>
      <w:r w:rsidR="00060A43" w:rsidRPr="00060A43">
        <w:rPr>
          <w:rFonts w:eastAsia="Arial"/>
          <w:color w:val="000000"/>
        </w:rPr>
        <w:t xml:space="preserve">no l'utilità e il valore </w:t>
      </w:r>
      <w:r>
        <w:rPr>
          <w:rFonts w:eastAsia="Arial"/>
          <w:color w:val="000000"/>
        </w:rPr>
        <w:t>dell’offerta</w:t>
      </w:r>
      <w:r w:rsidR="00060A43" w:rsidRPr="00060A43">
        <w:rPr>
          <w:rFonts w:eastAsia="Arial"/>
          <w:color w:val="000000"/>
        </w:rPr>
        <w:t>. Quest</w:t>
      </w:r>
      <w:r w:rsidR="000E39AD">
        <w:rPr>
          <w:rFonts w:eastAsia="Arial"/>
          <w:color w:val="000000"/>
        </w:rPr>
        <w:t xml:space="preserve">a trasformazione, la servitizzazione appunto, </w:t>
      </w:r>
      <w:r w:rsidR="00060A43" w:rsidRPr="00060A43">
        <w:rPr>
          <w:rFonts w:eastAsia="Arial"/>
          <w:color w:val="000000"/>
        </w:rPr>
        <w:t xml:space="preserve">rappresenta </w:t>
      </w:r>
      <w:r w:rsidR="000E39AD">
        <w:rPr>
          <w:rFonts w:eastAsia="Arial"/>
          <w:color w:val="000000"/>
        </w:rPr>
        <w:t xml:space="preserve">quindi </w:t>
      </w:r>
      <w:r w:rsidR="00DE2D2C">
        <w:rPr>
          <w:rFonts w:eastAsia="Arial"/>
          <w:color w:val="000000"/>
        </w:rPr>
        <w:t xml:space="preserve">oggi </w:t>
      </w:r>
      <w:r w:rsidR="00060A43" w:rsidRPr="00060A43">
        <w:rPr>
          <w:rFonts w:eastAsia="Arial"/>
          <w:color w:val="000000"/>
        </w:rPr>
        <w:t xml:space="preserve">una strategia fondamentale per le </w:t>
      </w:r>
      <w:r w:rsidR="00DE2D2C">
        <w:rPr>
          <w:rFonts w:eastAsia="Arial"/>
          <w:color w:val="000000"/>
        </w:rPr>
        <w:t>aziende in grado di</w:t>
      </w:r>
      <w:r w:rsidR="00060A43" w:rsidRPr="00060A43">
        <w:rPr>
          <w:rFonts w:eastAsia="Arial"/>
          <w:color w:val="000000"/>
        </w:rPr>
        <w:t xml:space="preserve"> </w:t>
      </w:r>
      <w:r w:rsidR="00060A43" w:rsidRPr="009F713E">
        <w:rPr>
          <w:rFonts w:eastAsia="Arial"/>
          <w:b/>
          <w:bCs/>
          <w:color w:val="000000"/>
        </w:rPr>
        <w:t>generare nuovi guadagni</w:t>
      </w:r>
      <w:r w:rsidR="00060A43" w:rsidRPr="00060A43">
        <w:rPr>
          <w:rFonts w:eastAsia="Arial"/>
          <w:color w:val="000000"/>
        </w:rPr>
        <w:t xml:space="preserve">, </w:t>
      </w:r>
      <w:r w:rsidR="00060A43" w:rsidRPr="009F713E">
        <w:rPr>
          <w:rFonts w:eastAsia="Arial"/>
          <w:b/>
          <w:bCs/>
          <w:color w:val="000000"/>
        </w:rPr>
        <w:t>fidelizzare i clienti</w:t>
      </w:r>
      <w:r w:rsidR="00060A43" w:rsidRPr="00060A43">
        <w:rPr>
          <w:rFonts w:eastAsia="Arial"/>
          <w:color w:val="000000"/>
        </w:rPr>
        <w:t xml:space="preserve">, </w:t>
      </w:r>
      <w:r w:rsidR="00060A43" w:rsidRPr="009F713E">
        <w:rPr>
          <w:rFonts w:eastAsia="Arial"/>
          <w:b/>
          <w:bCs/>
          <w:color w:val="000000"/>
        </w:rPr>
        <w:t>usare le risorse in modo più sostenibile</w:t>
      </w:r>
      <w:r w:rsidR="00060A43" w:rsidRPr="00060A43">
        <w:rPr>
          <w:rFonts w:eastAsia="Arial"/>
          <w:color w:val="000000"/>
        </w:rPr>
        <w:t xml:space="preserve"> e </w:t>
      </w:r>
      <w:r w:rsidR="00060A43" w:rsidRPr="009F713E">
        <w:rPr>
          <w:rFonts w:eastAsia="Arial"/>
          <w:b/>
          <w:bCs/>
          <w:color w:val="000000"/>
        </w:rPr>
        <w:t>differenziarsi dalla concorrenza</w:t>
      </w:r>
      <w:r w:rsidR="00060A43" w:rsidRPr="00060A43">
        <w:rPr>
          <w:rFonts w:eastAsia="Arial"/>
          <w:color w:val="000000"/>
        </w:rPr>
        <w:t xml:space="preserve">. </w:t>
      </w:r>
      <w:r w:rsidR="00DE2D2C">
        <w:rPr>
          <w:rFonts w:eastAsia="Arial"/>
          <w:color w:val="000000"/>
        </w:rPr>
        <w:t xml:space="preserve">In questo contesto, le nuove </w:t>
      </w:r>
      <w:r w:rsidR="00DE2D2C" w:rsidRPr="009F713E">
        <w:rPr>
          <w:rFonts w:eastAsia="Arial"/>
          <w:b/>
          <w:bCs/>
          <w:color w:val="000000"/>
        </w:rPr>
        <w:t>tecnologie digitali</w:t>
      </w:r>
      <w:r w:rsidR="00DE2D2C">
        <w:rPr>
          <w:rFonts w:eastAsia="Arial"/>
          <w:color w:val="000000"/>
        </w:rPr>
        <w:t xml:space="preserve"> (Industria 4.0) </w:t>
      </w:r>
      <w:r w:rsidR="000E6066">
        <w:rPr>
          <w:rFonts w:eastAsia="Arial"/>
          <w:color w:val="000000"/>
        </w:rPr>
        <w:t>e</w:t>
      </w:r>
      <w:r w:rsidR="000E6066" w:rsidRPr="00060A43">
        <w:rPr>
          <w:rFonts w:eastAsia="Arial"/>
          <w:color w:val="000000"/>
        </w:rPr>
        <w:t xml:space="preserve"> </w:t>
      </w:r>
      <w:r w:rsidR="000E6066">
        <w:rPr>
          <w:rFonts w:eastAsia="Arial"/>
          <w:color w:val="000000"/>
        </w:rPr>
        <w:t>la</w:t>
      </w:r>
      <w:r w:rsidR="000E6066" w:rsidRPr="00060A43">
        <w:rPr>
          <w:rFonts w:eastAsia="Arial"/>
          <w:color w:val="000000"/>
        </w:rPr>
        <w:t xml:space="preserve"> pervasiva trasformazione digitale di prodotti</w:t>
      </w:r>
      <w:r w:rsidR="000E6066">
        <w:rPr>
          <w:rFonts w:eastAsia="Arial"/>
          <w:color w:val="000000"/>
        </w:rPr>
        <w:t xml:space="preserve"> e </w:t>
      </w:r>
      <w:r w:rsidR="000E6066" w:rsidRPr="00060A43">
        <w:rPr>
          <w:rFonts w:eastAsia="Arial"/>
          <w:color w:val="000000"/>
        </w:rPr>
        <w:t xml:space="preserve">processi </w:t>
      </w:r>
      <w:r w:rsidR="000E6066">
        <w:rPr>
          <w:rFonts w:eastAsia="Arial"/>
          <w:color w:val="000000"/>
        </w:rPr>
        <w:t>hanno u</w:t>
      </w:r>
      <w:r w:rsidR="000C446F">
        <w:rPr>
          <w:rFonts w:eastAsia="Arial"/>
          <w:color w:val="000000"/>
        </w:rPr>
        <w:t xml:space="preserve">lteriormente </w:t>
      </w:r>
      <w:r w:rsidR="00DE2D2C">
        <w:rPr>
          <w:rFonts w:eastAsia="Arial"/>
          <w:color w:val="000000"/>
        </w:rPr>
        <w:t>accelera</w:t>
      </w:r>
      <w:r w:rsidR="003321CD">
        <w:rPr>
          <w:rFonts w:eastAsia="Arial"/>
          <w:color w:val="000000"/>
        </w:rPr>
        <w:t xml:space="preserve">to </w:t>
      </w:r>
      <w:r w:rsidR="00DE2D2C">
        <w:rPr>
          <w:rFonts w:eastAsia="Arial"/>
          <w:color w:val="000000"/>
        </w:rPr>
        <w:t>questa trasformazione</w:t>
      </w:r>
      <w:r w:rsidR="000C446F">
        <w:rPr>
          <w:rFonts w:eastAsia="Arial"/>
          <w:color w:val="000000"/>
        </w:rPr>
        <w:t xml:space="preserve">, ponendola </w:t>
      </w:r>
      <w:r w:rsidR="00E07E46">
        <w:rPr>
          <w:rFonts w:eastAsia="Arial"/>
          <w:color w:val="000000"/>
        </w:rPr>
        <w:t xml:space="preserve">oggi </w:t>
      </w:r>
      <w:r w:rsidR="000C446F">
        <w:rPr>
          <w:rFonts w:eastAsia="Arial"/>
          <w:color w:val="000000"/>
        </w:rPr>
        <w:t>al centro dell</w:t>
      </w:r>
      <w:r w:rsidR="00E07E46">
        <w:rPr>
          <w:rFonts w:eastAsia="Arial"/>
          <w:color w:val="000000"/>
        </w:rPr>
        <w:t>e agende di sviluppo e innovazione delle</w:t>
      </w:r>
      <w:r w:rsidR="000C446F">
        <w:rPr>
          <w:rFonts w:eastAsia="Arial"/>
          <w:color w:val="000000"/>
        </w:rPr>
        <w:t xml:space="preserve"> imprese.</w:t>
      </w:r>
    </w:p>
    <w:p w14:paraId="1970F03E" w14:textId="3DC9CBA1" w:rsidR="00060A43" w:rsidRPr="00060A43" w:rsidRDefault="00060A43" w:rsidP="009F7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eastAsia="Arial"/>
          <w:color w:val="000000"/>
        </w:rPr>
      </w:pPr>
      <w:r w:rsidRPr="00060A43">
        <w:rPr>
          <w:rFonts w:eastAsia="Arial"/>
          <w:color w:val="000000"/>
        </w:rPr>
        <w:t xml:space="preserve">Il </w:t>
      </w:r>
      <w:r w:rsidRPr="009F713E">
        <w:rPr>
          <w:rFonts w:eastAsia="Arial"/>
          <w:b/>
          <w:bCs/>
          <w:color w:val="000000"/>
        </w:rPr>
        <w:t>Centro di Ricerca Interuniversitario ASAP</w:t>
      </w:r>
      <w:r w:rsidRPr="00060A43">
        <w:rPr>
          <w:rFonts w:eastAsia="Arial"/>
          <w:color w:val="000000"/>
        </w:rPr>
        <w:t xml:space="preserve"> celebra </w:t>
      </w:r>
      <w:r w:rsidR="00DE2D2C">
        <w:rPr>
          <w:rFonts w:eastAsia="Arial"/>
          <w:color w:val="000000"/>
        </w:rPr>
        <w:t xml:space="preserve">i </w:t>
      </w:r>
      <w:r w:rsidRPr="00060A43">
        <w:rPr>
          <w:rFonts w:eastAsia="Arial"/>
          <w:color w:val="000000"/>
        </w:rPr>
        <w:t>suoi (primi) vent’anni</w:t>
      </w:r>
      <w:r w:rsidR="00414428">
        <w:rPr>
          <w:rFonts w:eastAsia="Arial"/>
          <w:color w:val="000000"/>
        </w:rPr>
        <w:t xml:space="preserve"> </w:t>
      </w:r>
      <w:r w:rsidR="00414428" w:rsidRPr="00B941DC">
        <w:t xml:space="preserve">ripercorrendo </w:t>
      </w:r>
      <w:r w:rsidR="00414428">
        <w:t>le tappe principali di questa trasformazione:</w:t>
      </w:r>
      <w:r w:rsidR="00414428">
        <w:rPr>
          <w:rFonts w:eastAsia="Arial"/>
          <w:color w:val="000000"/>
        </w:rPr>
        <w:t xml:space="preserve"> </w:t>
      </w:r>
      <w:r w:rsidRPr="00060A43">
        <w:rPr>
          <w:rFonts w:eastAsia="Arial"/>
          <w:color w:val="000000"/>
        </w:rPr>
        <w:t xml:space="preserve">il </w:t>
      </w:r>
      <w:r w:rsidRPr="009F713E">
        <w:rPr>
          <w:rFonts w:eastAsia="Arial"/>
          <w:b/>
          <w:bCs/>
          <w:color w:val="000000"/>
        </w:rPr>
        <w:t>XX ASAP Forum</w:t>
      </w:r>
      <w:r w:rsidRPr="00060A43">
        <w:rPr>
          <w:rFonts w:eastAsia="Arial"/>
          <w:color w:val="000000"/>
        </w:rPr>
        <w:t xml:space="preserve"> sarà </w:t>
      </w:r>
      <w:r w:rsidR="004A0D83">
        <w:rPr>
          <w:rFonts w:eastAsia="Arial"/>
          <w:color w:val="000000"/>
        </w:rPr>
        <w:t xml:space="preserve">quindi </w:t>
      </w:r>
      <w:r w:rsidRPr="00060A43">
        <w:rPr>
          <w:rFonts w:eastAsia="Arial"/>
          <w:color w:val="000000"/>
        </w:rPr>
        <w:t xml:space="preserve">un'opportunità unica per </w:t>
      </w:r>
      <w:r w:rsidRPr="009F713E">
        <w:rPr>
          <w:rFonts w:eastAsia="Arial"/>
          <w:b/>
          <w:bCs/>
          <w:color w:val="000000"/>
        </w:rPr>
        <w:t>immergersi nel mondo della servitizzazione</w:t>
      </w:r>
      <w:r w:rsidRPr="00060A43">
        <w:rPr>
          <w:rFonts w:eastAsia="Arial"/>
          <w:color w:val="000000"/>
        </w:rPr>
        <w:t xml:space="preserve">, </w:t>
      </w:r>
      <w:r w:rsidR="004A0D83">
        <w:rPr>
          <w:rFonts w:eastAsia="Arial"/>
          <w:color w:val="000000"/>
        </w:rPr>
        <w:t>ripercorrendone</w:t>
      </w:r>
      <w:r w:rsidRPr="00060A43">
        <w:rPr>
          <w:rFonts w:eastAsia="Arial"/>
          <w:color w:val="000000"/>
        </w:rPr>
        <w:t xml:space="preserve"> la sua storia</w:t>
      </w:r>
      <w:r w:rsidR="004A0D83">
        <w:rPr>
          <w:rFonts w:eastAsia="Arial"/>
          <w:color w:val="000000"/>
        </w:rPr>
        <w:t xml:space="preserve"> ed esplorandone </w:t>
      </w:r>
      <w:r w:rsidRPr="00060A43">
        <w:rPr>
          <w:rFonts w:eastAsia="Arial"/>
          <w:color w:val="000000"/>
        </w:rPr>
        <w:t>le tendenze futur</w:t>
      </w:r>
      <w:r w:rsidR="004A0D83">
        <w:rPr>
          <w:rFonts w:eastAsia="Arial"/>
          <w:color w:val="000000"/>
        </w:rPr>
        <w:t>e</w:t>
      </w:r>
      <w:r w:rsidRPr="00060A43">
        <w:rPr>
          <w:rFonts w:eastAsia="Arial"/>
          <w:color w:val="000000"/>
        </w:rPr>
        <w:t xml:space="preserve">. Esperti internazionali e manager di aziende leader condivideranno testimonianze e casi di successo, mostrando come una </w:t>
      </w:r>
      <w:r w:rsidRPr="009F713E">
        <w:rPr>
          <w:rFonts w:eastAsia="Arial"/>
          <w:b/>
          <w:bCs/>
          <w:color w:val="000000"/>
        </w:rPr>
        <w:t>nuova offerta di servizi</w:t>
      </w:r>
      <w:r w:rsidRPr="00060A43">
        <w:rPr>
          <w:rFonts w:eastAsia="Arial"/>
          <w:color w:val="000000"/>
        </w:rPr>
        <w:t xml:space="preserve"> </w:t>
      </w:r>
      <w:r w:rsidR="00CD70F7">
        <w:rPr>
          <w:rFonts w:eastAsia="Arial"/>
          <w:color w:val="000000"/>
        </w:rPr>
        <w:t xml:space="preserve">abilitata dalle nuove tecnologie </w:t>
      </w:r>
      <w:r w:rsidRPr="00060A43">
        <w:rPr>
          <w:rFonts w:eastAsia="Arial"/>
          <w:color w:val="000000"/>
        </w:rPr>
        <w:t xml:space="preserve">possa essere utilizzata per </w:t>
      </w:r>
      <w:r w:rsidRPr="009F713E">
        <w:rPr>
          <w:rFonts w:eastAsia="Arial"/>
          <w:color w:val="000000"/>
        </w:rPr>
        <w:t>promuovere</w:t>
      </w:r>
      <w:r w:rsidRPr="009F713E">
        <w:rPr>
          <w:rFonts w:eastAsia="Arial"/>
          <w:b/>
          <w:bCs/>
          <w:color w:val="000000"/>
        </w:rPr>
        <w:t xml:space="preserve"> </w:t>
      </w:r>
      <w:r w:rsidRPr="009F713E">
        <w:rPr>
          <w:rFonts w:eastAsia="Arial"/>
          <w:color w:val="000000"/>
        </w:rPr>
        <w:t>non solo</w:t>
      </w:r>
      <w:r w:rsidRPr="009F713E">
        <w:rPr>
          <w:rFonts w:eastAsia="Arial"/>
          <w:b/>
          <w:bCs/>
          <w:color w:val="000000"/>
        </w:rPr>
        <w:t xml:space="preserve"> la crescita economica</w:t>
      </w:r>
      <w:r w:rsidRPr="00060A43">
        <w:rPr>
          <w:rFonts w:eastAsia="Arial"/>
          <w:color w:val="000000"/>
        </w:rPr>
        <w:t xml:space="preserve"> ma sempre di più </w:t>
      </w:r>
      <w:r w:rsidRPr="009F713E">
        <w:rPr>
          <w:rFonts w:eastAsia="Arial"/>
          <w:b/>
          <w:bCs/>
          <w:color w:val="000000"/>
        </w:rPr>
        <w:t>comportamenti sostenibili</w:t>
      </w:r>
      <w:r w:rsidRPr="00060A43">
        <w:rPr>
          <w:rFonts w:eastAsia="Arial"/>
          <w:color w:val="000000"/>
        </w:rPr>
        <w:t xml:space="preserve">. </w:t>
      </w:r>
    </w:p>
    <w:p w14:paraId="1CBD3053" w14:textId="7A8AE659" w:rsidR="00060A43" w:rsidRPr="00060A43" w:rsidRDefault="00CD70F7" w:rsidP="009F7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eastAsia="Arial"/>
          <w:color w:val="000000"/>
        </w:rPr>
      </w:pPr>
      <w:r>
        <w:rPr>
          <w:rFonts w:eastAsia="Arial"/>
          <w:color w:val="000000"/>
        </w:rPr>
        <w:t>Infatti, i</w:t>
      </w:r>
      <w:r w:rsidR="00060A43" w:rsidRPr="00060A43">
        <w:rPr>
          <w:rFonts w:eastAsia="Arial"/>
          <w:color w:val="000000"/>
        </w:rPr>
        <w:t xml:space="preserve">l mondo connesso, i dati e l’intelligenza artificiale possono </w:t>
      </w:r>
      <w:r w:rsidR="00EB64A9">
        <w:rPr>
          <w:rFonts w:eastAsia="Arial"/>
          <w:color w:val="000000"/>
        </w:rPr>
        <w:t>già oggi</w:t>
      </w:r>
      <w:r w:rsidR="00060A43" w:rsidRPr="00060A43">
        <w:rPr>
          <w:rFonts w:eastAsia="Arial"/>
          <w:color w:val="000000"/>
        </w:rPr>
        <w:t xml:space="preserve"> favorire</w:t>
      </w:r>
      <w:r w:rsidR="00EB64A9">
        <w:rPr>
          <w:rFonts w:eastAsia="Arial"/>
          <w:color w:val="000000"/>
        </w:rPr>
        <w:t xml:space="preserve">, </w:t>
      </w:r>
      <w:r w:rsidR="00060A43" w:rsidRPr="00060A43">
        <w:rPr>
          <w:rFonts w:eastAsia="Arial"/>
          <w:color w:val="000000"/>
        </w:rPr>
        <w:t xml:space="preserve">anche nelle aziende tradizionali, l’adozione di </w:t>
      </w:r>
      <w:r w:rsidR="00060A43" w:rsidRPr="009F713E">
        <w:rPr>
          <w:rFonts w:eastAsia="Arial"/>
          <w:b/>
          <w:bCs/>
          <w:color w:val="000000"/>
        </w:rPr>
        <w:t xml:space="preserve">nuovi modelli di business maggiormente incentrati sulle prestazioni </w:t>
      </w:r>
      <w:r w:rsidR="00060A43" w:rsidRPr="00060A43">
        <w:rPr>
          <w:rFonts w:eastAsia="Arial"/>
          <w:color w:val="000000"/>
        </w:rPr>
        <w:t xml:space="preserve">per soddisfare le richieste della clientela, come i molti citati </w:t>
      </w:r>
      <w:r w:rsidR="00060A43" w:rsidRPr="00060A43">
        <w:rPr>
          <w:rFonts w:eastAsia="Arial"/>
          <w:color w:val="000000"/>
        </w:rPr>
        <w:lastRenderedPageBreak/>
        <w:t>modelli “</w:t>
      </w:r>
      <w:proofErr w:type="spellStart"/>
      <w:r w:rsidR="00060A43" w:rsidRPr="00060A43">
        <w:rPr>
          <w:rFonts w:eastAsia="Arial"/>
          <w:color w:val="000000"/>
        </w:rPr>
        <w:t>as</w:t>
      </w:r>
      <w:proofErr w:type="spellEnd"/>
      <w:r w:rsidR="00060A43" w:rsidRPr="00060A43">
        <w:rPr>
          <w:rFonts w:eastAsia="Arial"/>
          <w:color w:val="000000"/>
        </w:rPr>
        <w:t xml:space="preserve">-a-service”, dove </w:t>
      </w:r>
      <w:r w:rsidR="00060A43" w:rsidRPr="00052FBA">
        <w:rPr>
          <w:rFonts w:eastAsia="Arial"/>
          <w:color w:val="000000"/>
        </w:rPr>
        <w:t>l’azienda mantiene la proprietà del prodotto</w:t>
      </w:r>
      <w:r w:rsidR="00060A43" w:rsidRPr="00060A43">
        <w:rPr>
          <w:rFonts w:eastAsia="Arial"/>
          <w:color w:val="000000"/>
        </w:rPr>
        <w:t xml:space="preserve"> e </w:t>
      </w:r>
      <w:r w:rsidR="00060A43" w:rsidRPr="00052FBA">
        <w:rPr>
          <w:rFonts w:eastAsia="Arial"/>
          <w:b/>
          <w:bCs/>
          <w:color w:val="000000"/>
        </w:rPr>
        <w:t xml:space="preserve">si fa carico di tutti i servizi necessari al corretto funzionamento </w:t>
      </w:r>
      <w:r w:rsidR="00060A43" w:rsidRPr="00060A43">
        <w:rPr>
          <w:rFonts w:eastAsia="Arial"/>
          <w:color w:val="000000"/>
        </w:rPr>
        <w:t xml:space="preserve">del bene (manutenzione, pezzi di ricambio, materiali di consumo…), con conseguente </w:t>
      </w:r>
      <w:r w:rsidR="00060A43" w:rsidRPr="009F713E">
        <w:rPr>
          <w:rFonts w:eastAsia="Arial"/>
          <w:b/>
          <w:bCs/>
          <w:color w:val="000000"/>
        </w:rPr>
        <w:t>assunzione dei relativi rischi</w:t>
      </w:r>
      <w:r w:rsidR="00060A43" w:rsidRPr="00060A43">
        <w:rPr>
          <w:rFonts w:eastAsia="Arial"/>
          <w:color w:val="000000"/>
        </w:rPr>
        <w:t xml:space="preserve">, da quello finanziario a quello operativo e comportamentale. È chiaro però che tale trasformazione richiede </w:t>
      </w:r>
      <w:r w:rsidR="00060A43" w:rsidRPr="00052FBA">
        <w:rPr>
          <w:rFonts w:eastAsia="Arial"/>
          <w:b/>
          <w:bCs/>
          <w:color w:val="000000"/>
        </w:rPr>
        <w:t>cambiamenti pervasivi</w:t>
      </w:r>
      <w:r w:rsidR="00060A43" w:rsidRPr="00060A43">
        <w:rPr>
          <w:rFonts w:eastAsia="Arial"/>
          <w:color w:val="000000"/>
        </w:rPr>
        <w:t xml:space="preserve"> nella struttura, nella cultura e nelle competenze dell'impresa stessa. Il percorso non è quindi semplice.</w:t>
      </w:r>
    </w:p>
    <w:p w14:paraId="41C2F123" w14:textId="3E26AC34" w:rsidR="00060A43" w:rsidRDefault="00EB64A9" w:rsidP="009F7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eastAsia="Arial"/>
          <w:color w:val="000000"/>
        </w:rPr>
      </w:pPr>
      <w:r>
        <w:rPr>
          <w:rFonts w:eastAsia="Arial"/>
          <w:color w:val="000000"/>
        </w:rPr>
        <w:t>I</w:t>
      </w:r>
      <w:r w:rsidR="00060A43" w:rsidRPr="00060A43">
        <w:rPr>
          <w:rFonts w:eastAsia="Arial"/>
          <w:color w:val="000000"/>
        </w:rPr>
        <w:t xml:space="preserve">l XX ASAP Forum si propone quindi di illustrare come sia però oggi possibile sfruttare le tecnologie digitali più innovative a supporto del service per raggiungere nuovi obiettivi di crescita e sostenibilità e di cosa ci dobbiamo attendere per il prossimo futuro. Inoltre, durante l'evento, verranno presentati i </w:t>
      </w:r>
      <w:r w:rsidR="00060A43" w:rsidRPr="00052FBA">
        <w:rPr>
          <w:rFonts w:eastAsia="Arial"/>
          <w:b/>
          <w:bCs/>
          <w:color w:val="000000"/>
        </w:rPr>
        <w:t xml:space="preserve">primi risultati della ricerca finanziata dal PNRR Made in </w:t>
      </w:r>
      <w:proofErr w:type="spellStart"/>
      <w:r w:rsidR="00060A43" w:rsidRPr="00052FBA">
        <w:rPr>
          <w:rFonts w:eastAsia="Arial"/>
          <w:b/>
          <w:bCs/>
          <w:color w:val="000000"/>
        </w:rPr>
        <w:t>Italy</w:t>
      </w:r>
      <w:proofErr w:type="spellEnd"/>
      <w:r w:rsidR="00060A43" w:rsidRPr="00052FBA">
        <w:rPr>
          <w:rFonts w:eastAsia="Arial"/>
          <w:b/>
          <w:bCs/>
          <w:color w:val="000000"/>
        </w:rPr>
        <w:t xml:space="preserve"> Circolare e Sostenibile (MICS)</w:t>
      </w:r>
      <w:r w:rsidR="00060A43" w:rsidRPr="00060A43">
        <w:rPr>
          <w:rFonts w:eastAsia="Arial"/>
          <w:color w:val="000000"/>
        </w:rPr>
        <w:t>, offrendo una visione delle sfide e delle opportunità che ci aspettano nel prossimo futuro.</w:t>
      </w:r>
      <w:r w:rsidR="00060A43">
        <w:rPr>
          <w:rFonts w:eastAsia="Arial"/>
          <w:color w:val="000000"/>
        </w:rPr>
        <w:t xml:space="preserve"> </w:t>
      </w:r>
    </w:p>
    <w:p w14:paraId="1F3E1922" w14:textId="484D9617" w:rsidR="003E69C2" w:rsidRDefault="00000000" w:rsidP="009F7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eastAsia="Arial"/>
          <w:color w:val="000000"/>
        </w:rPr>
      </w:pPr>
      <w:r>
        <w:rPr>
          <w:rFonts w:eastAsia="Arial"/>
          <w:color w:val="000000"/>
        </w:rPr>
        <w:t>Seguendo la formula tradizionale, il primo giorno (16 novembre) sarà dedicato alle</w:t>
      </w:r>
      <w:r>
        <w:rPr>
          <w:rFonts w:eastAsia="Arial"/>
          <w:b/>
          <w:color w:val="000000"/>
        </w:rPr>
        <w:t xml:space="preserve"> aziende aderenti</w:t>
      </w:r>
      <w:r w:rsidR="00052FB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alla</w:t>
      </w:r>
      <w:r w:rsidR="00052FB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Community, mentre il</w:t>
      </w:r>
      <w:r w:rsidR="00052FBA">
        <w:rPr>
          <w:rFonts w:eastAsia="Arial"/>
          <w:color w:val="000000"/>
        </w:rPr>
        <w:t xml:space="preserve"> </w:t>
      </w:r>
      <w:r>
        <w:rPr>
          <w:rFonts w:eastAsia="Arial"/>
          <w:b/>
          <w:color w:val="000000"/>
        </w:rPr>
        <w:t>secondo giorno</w:t>
      </w:r>
      <w:r w:rsidR="00052FB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(17 novembre) sarà </w:t>
      </w:r>
      <w:r>
        <w:rPr>
          <w:rFonts w:eastAsia="Arial"/>
          <w:b/>
          <w:color w:val="000000"/>
        </w:rPr>
        <w:t>aperto a tutti</w:t>
      </w:r>
      <w:r>
        <w:rPr>
          <w:rFonts w:eastAsia="Arial"/>
          <w:color w:val="000000"/>
        </w:rPr>
        <w:t xml:space="preserve">.  Per scoprire tutti i relatori della due giorni e per iscrizioni è possibile visitare la pagina: </w:t>
      </w:r>
      <w:hyperlink r:id="rId8">
        <w:r>
          <w:rPr>
            <w:rFonts w:eastAsia="Arial"/>
            <w:color w:val="356767"/>
            <w:u w:val="single"/>
          </w:rPr>
          <w:t>www.asapforum.it</w:t>
        </w:r>
      </w:hyperlink>
      <w:r>
        <w:rPr>
          <w:rFonts w:eastAsia="Arial"/>
          <w:color w:val="000000"/>
        </w:rPr>
        <w:t xml:space="preserve"> </w:t>
      </w:r>
    </w:p>
    <w:p w14:paraId="2C56F43C" w14:textId="77777777" w:rsidR="003E69C2" w:rsidRDefault="003E69C2">
      <w:pPr>
        <w:rPr>
          <w:color w:val="000000"/>
        </w:rPr>
      </w:pPr>
    </w:p>
    <w:tbl>
      <w:tblPr>
        <w:tblStyle w:val="a"/>
        <w:tblpPr w:leftFromText="141" w:rightFromText="141" w:vertAnchor="text" w:tblpY="120"/>
        <w:tblW w:w="962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84"/>
        <w:gridCol w:w="7438"/>
      </w:tblGrid>
      <w:tr w:rsidR="003E69C2" w14:paraId="1A737A0B" w14:textId="77777777">
        <w:trPr>
          <w:trHeight w:val="1580"/>
        </w:trPr>
        <w:tc>
          <w:tcPr>
            <w:tcW w:w="2184" w:type="dxa"/>
            <w:vAlign w:val="center"/>
          </w:tcPr>
          <w:p w14:paraId="1EE47532" w14:textId="77777777" w:rsidR="003E69C2" w:rsidRDefault="0000000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3AB6967" wp14:editId="61F73AEE">
                  <wp:extent cx="1284514" cy="567099"/>
                  <wp:effectExtent l="0" t="0" r="0" b="0"/>
                  <wp:docPr id="140463677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14" cy="5670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vAlign w:val="center"/>
          </w:tcPr>
          <w:p w14:paraId="3D70B902" w14:textId="77777777" w:rsidR="003E69C2" w:rsidRDefault="00000000">
            <w:pPr>
              <w:shd w:val="clear" w:color="auto" w:fill="FFFFFF"/>
              <w:rPr>
                <w:color w:val="222222"/>
              </w:rPr>
            </w:pPr>
            <w:r>
              <w:rPr>
                <w:color w:val="000000"/>
                <w:sz w:val="20"/>
                <w:szCs w:val="20"/>
              </w:rPr>
              <w:t xml:space="preserve">Il XX ASAP Forum è organizzato dal </w:t>
            </w:r>
            <w:r>
              <w:rPr>
                <w:i/>
                <w:color w:val="000000"/>
                <w:sz w:val="20"/>
                <w:szCs w:val="20"/>
              </w:rPr>
              <w:t xml:space="preserve">“Centro interuniversitario di ricerca sull’innovazione e la gestione dei servizi nelle imprese industriali-ASAP SMF” </w:t>
            </w:r>
            <w:r>
              <w:rPr>
                <w:color w:val="000000"/>
                <w:sz w:val="20"/>
                <w:szCs w:val="20"/>
              </w:rPr>
              <w:t xml:space="preserve">costituito dall’Università di Bergamo, di Brescia, di Firenze, e del Piemonte Orientale. </w:t>
            </w:r>
            <w:r>
              <w:rPr>
                <w:b/>
                <w:color w:val="000000"/>
                <w:sz w:val="20"/>
                <w:szCs w:val="20"/>
              </w:rPr>
              <w:t xml:space="preserve">ASAP </w:t>
            </w:r>
            <w:r>
              <w:rPr>
                <w:color w:val="000000"/>
                <w:sz w:val="20"/>
                <w:szCs w:val="20"/>
              </w:rPr>
              <w:t>è la community italiana sul service management e sulla servitizzazione. Centri di ricerca universitari e aziende collaborano per l’innovazione nella progettazione e gestione dei servizi, per lo sviluppo strategico del “service business” e la gestione del cambiamento. ASAP è il punto di riferimento del panorama nazionale, e uno dei principali a livello Europeo, in materia di service management. Realizza attività di ricerca, formazione, workshop e convegni, favorendo il networking e la disseminazione</w:t>
            </w:r>
            <w:r>
              <w:rPr>
                <w:sz w:val="20"/>
                <w:szCs w:val="20"/>
              </w:rPr>
              <w:t>.</w:t>
            </w:r>
          </w:p>
          <w:p w14:paraId="28766442" w14:textId="77777777" w:rsidR="003E69C2" w:rsidRDefault="003E69C2">
            <w:pPr>
              <w:rPr>
                <w:sz w:val="20"/>
                <w:szCs w:val="20"/>
              </w:rPr>
            </w:pPr>
          </w:p>
          <w:p w14:paraId="60F10C58" w14:textId="77777777" w:rsidR="003E69C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informazioni: </w:t>
            </w:r>
            <w:hyperlink r:id="rId10">
              <w:r>
                <w:rPr>
                  <w:color w:val="356767"/>
                  <w:sz w:val="20"/>
                  <w:szCs w:val="20"/>
                  <w:u w:val="single"/>
                </w:rPr>
                <w:t>info@asapsmf.org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B1DA4F4" w14:textId="77777777" w:rsidR="003E69C2" w:rsidRDefault="003E69C2">
      <w:pPr>
        <w:rPr>
          <w:sz w:val="22"/>
          <w:szCs w:val="22"/>
        </w:rPr>
      </w:pPr>
    </w:p>
    <w:p w14:paraId="1B4DFDE2" w14:textId="77777777" w:rsidR="003E69C2" w:rsidRDefault="003E69C2">
      <w:pPr>
        <w:rPr>
          <w:sz w:val="22"/>
          <w:szCs w:val="22"/>
        </w:rPr>
      </w:pPr>
    </w:p>
    <w:p w14:paraId="1A118765" w14:textId="77777777" w:rsidR="003E69C2" w:rsidRDefault="00000000">
      <w:pPr>
        <w:rPr>
          <w:sz w:val="22"/>
          <w:szCs w:val="22"/>
        </w:rPr>
      </w:pPr>
      <w:r>
        <w:rPr>
          <w:sz w:val="22"/>
          <w:szCs w:val="22"/>
        </w:rPr>
        <w:t>In collaborazione con:</w:t>
      </w:r>
    </w:p>
    <w:p w14:paraId="2D83DB53" w14:textId="77777777" w:rsidR="003E69C2" w:rsidRDefault="00000000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649CA43C" wp14:editId="68558196">
            <wp:extent cx="5105234" cy="890447"/>
            <wp:effectExtent l="0" t="0" r="0" b="0"/>
            <wp:docPr id="1404636774" name="image3.png" descr="Immagine che contiene testo, Carattere, schermata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Carattere, schermata, logo&#10;&#10;Descrizione generat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234" cy="890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81CA62" w14:textId="77777777" w:rsidR="003E69C2" w:rsidRDefault="003E69C2">
      <w:pPr>
        <w:rPr>
          <w:sz w:val="22"/>
          <w:szCs w:val="22"/>
        </w:rPr>
      </w:pPr>
    </w:p>
    <w:p w14:paraId="2C3DD32A" w14:textId="77777777" w:rsidR="003E69C2" w:rsidRDefault="003E69C2">
      <w:pPr>
        <w:rPr>
          <w:sz w:val="22"/>
          <w:szCs w:val="22"/>
        </w:rPr>
      </w:pPr>
    </w:p>
    <w:p w14:paraId="5ADAC99F" w14:textId="77777777" w:rsidR="003E69C2" w:rsidRDefault="00000000">
      <w:pPr>
        <w:rPr>
          <w:sz w:val="22"/>
          <w:szCs w:val="22"/>
        </w:rPr>
      </w:pPr>
      <w:r>
        <w:rPr>
          <w:sz w:val="22"/>
          <w:szCs w:val="22"/>
        </w:rPr>
        <w:t>Con il supporto di:</w:t>
      </w:r>
    </w:p>
    <w:p w14:paraId="1675D106" w14:textId="77777777" w:rsidR="003E69C2" w:rsidRDefault="003E69C2">
      <w:pPr>
        <w:rPr>
          <w:sz w:val="22"/>
          <w:szCs w:val="22"/>
        </w:rPr>
      </w:pPr>
    </w:p>
    <w:p w14:paraId="40E09B1C" w14:textId="77777777" w:rsidR="003E69C2" w:rsidRDefault="0000000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35957FF" wp14:editId="059198D3">
            <wp:extent cx="1509129" cy="544963"/>
            <wp:effectExtent l="0" t="0" r="0" b="0"/>
            <wp:docPr id="1404636773" name="image5.png" descr="Immagine che contiene Elementi grafici, Carattere, logo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mmagine che contiene Elementi grafici, Carattere, logo, grafica&#10;&#10;Descrizione generat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129" cy="54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E69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CF91" w14:textId="77777777" w:rsidR="0051197D" w:rsidRDefault="0051197D">
      <w:r>
        <w:separator/>
      </w:r>
    </w:p>
  </w:endnote>
  <w:endnote w:type="continuationSeparator" w:id="0">
    <w:p w14:paraId="1FF136B3" w14:textId="77777777" w:rsidR="0051197D" w:rsidRDefault="0051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0356" w14:textId="77777777" w:rsidR="003E69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284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fldChar w:fldCharType="begin"/>
    </w:r>
    <w:r>
      <w:rPr>
        <w:rFonts w:eastAsia="Arial"/>
        <w:color w:val="000000"/>
        <w:sz w:val="22"/>
        <w:szCs w:val="22"/>
      </w:rPr>
      <w:instrText>PAGE</w:instrText>
    </w:r>
    <w:r>
      <w:rPr>
        <w:rFonts w:eastAsia="Arial"/>
        <w:color w:val="000000"/>
        <w:sz w:val="22"/>
        <w:szCs w:val="22"/>
      </w:rPr>
      <w:fldChar w:fldCharType="separate"/>
    </w:r>
    <w:r>
      <w:rPr>
        <w:rFonts w:eastAsia="Arial"/>
        <w:color w:val="000000"/>
        <w:sz w:val="22"/>
        <w:szCs w:val="22"/>
      </w:rPr>
      <w:fldChar w:fldCharType="end"/>
    </w:r>
  </w:p>
  <w:p w14:paraId="289CE5B1" w14:textId="77777777" w:rsidR="003E69C2" w:rsidRDefault="003E69C2"/>
  <w:p w14:paraId="26247CE9" w14:textId="77777777" w:rsidR="003E69C2" w:rsidRDefault="003E69C2"/>
  <w:p w14:paraId="60D8C6AB" w14:textId="77777777" w:rsidR="003E69C2" w:rsidRDefault="003E6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9A8E" w14:textId="77777777" w:rsidR="003E69C2" w:rsidRDefault="003E69C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DA91" w14:textId="77777777" w:rsidR="003E69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jc w:val="center"/>
      <w:rPr>
        <w:rFonts w:eastAsia="Arial"/>
        <w:color w:val="000000"/>
        <w:sz w:val="20"/>
        <w:szCs w:val="20"/>
      </w:rPr>
    </w:pPr>
    <w:r>
      <w:rPr>
        <w:rFonts w:eastAsia="Arial"/>
        <w:noProof/>
        <w:color w:val="000000"/>
        <w:sz w:val="20"/>
        <w:szCs w:val="20"/>
      </w:rPr>
      <w:drawing>
        <wp:inline distT="0" distB="0" distL="0" distR="0" wp14:anchorId="29C26D33" wp14:editId="22E3FF51">
          <wp:extent cx="6116320" cy="1066800"/>
          <wp:effectExtent l="0" t="0" r="0" b="0"/>
          <wp:docPr id="140463677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F405" w14:textId="77777777" w:rsidR="0051197D" w:rsidRDefault="0051197D">
      <w:r>
        <w:separator/>
      </w:r>
    </w:p>
  </w:footnote>
  <w:footnote w:type="continuationSeparator" w:id="0">
    <w:p w14:paraId="6C1BD4E0" w14:textId="77777777" w:rsidR="0051197D" w:rsidRDefault="0051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B2DD" w14:textId="77777777" w:rsidR="003E69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rPr>
        <w:rFonts w:eastAsia="Arial"/>
        <w:color w:val="000000"/>
        <w:sz w:val="22"/>
        <w:szCs w:val="22"/>
      </w:rPr>
    </w:pPr>
    <w:r>
      <w:rPr>
        <w:rFonts w:eastAsia="Arial"/>
        <w:noProof/>
        <w:color w:val="000000"/>
        <w:sz w:val="22"/>
        <w:szCs w:val="22"/>
      </w:rPr>
      <w:drawing>
        <wp:inline distT="0" distB="0" distL="0" distR="0" wp14:anchorId="0DC882A5" wp14:editId="60489E80">
          <wp:extent cx="555699" cy="540000"/>
          <wp:effectExtent l="0" t="0" r="0" b="0"/>
          <wp:docPr id="1404636775" name="image2.jpg" descr="D:\Dropbox\Organizzazione &amp; supporto\Rebranding SCSM\Template\Logo\frec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Dropbox\Organizzazione &amp; supporto\Rebranding SCSM\Template\Logo\frecci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99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48B4A2" w14:textId="77777777" w:rsidR="003E69C2" w:rsidRDefault="003E69C2"/>
  <w:p w14:paraId="5646775A" w14:textId="77777777" w:rsidR="003E69C2" w:rsidRDefault="003E69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C84E" w14:textId="77777777" w:rsidR="003E69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jc w:val="center"/>
      <w:rPr>
        <w:rFonts w:eastAsia="Arial"/>
        <w:color w:val="000000"/>
        <w:sz w:val="22"/>
        <w:szCs w:val="22"/>
      </w:rPr>
    </w:pPr>
    <w:r>
      <w:rPr>
        <w:rFonts w:eastAsia="Arial"/>
        <w:noProof/>
        <w:color w:val="000000"/>
        <w:sz w:val="22"/>
        <w:szCs w:val="22"/>
      </w:rPr>
      <w:drawing>
        <wp:inline distT="0" distB="0" distL="0" distR="0" wp14:anchorId="5CF574EE" wp14:editId="4F93C5E5">
          <wp:extent cx="1769933" cy="781407"/>
          <wp:effectExtent l="0" t="0" r="0" b="0"/>
          <wp:docPr id="140463677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933" cy="781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0B56F6" w14:textId="77777777" w:rsidR="003E69C2" w:rsidRDefault="003E69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jc w:val="center"/>
      <w:rPr>
        <w:rFonts w:eastAsia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F268" w14:textId="77777777" w:rsidR="003E69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jc w:val="center"/>
      <w:rPr>
        <w:rFonts w:eastAsia="Arial"/>
        <w:color w:val="000000"/>
        <w:sz w:val="22"/>
        <w:szCs w:val="22"/>
      </w:rPr>
    </w:pPr>
    <w:r>
      <w:rPr>
        <w:rFonts w:eastAsia="Arial"/>
        <w:noProof/>
        <w:color w:val="000000"/>
        <w:sz w:val="22"/>
        <w:szCs w:val="22"/>
      </w:rPr>
      <w:drawing>
        <wp:inline distT="0" distB="0" distL="0" distR="0" wp14:anchorId="731BD08F" wp14:editId="0D1CED25">
          <wp:extent cx="3696791" cy="1305314"/>
          <wp:effectExtent l="0" t="0" r="0" b="0"/>
          <wp:docPr id="1404636778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791" cy="1305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43B3"/>
    <w:multiLevelType w:val="multilevel"/>
    <w:tmpl w:val="E11ECBA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9104854">
    <w:abstractNumId w:val="0"/>
  </w:num>
  <w:num w:numId="2" w16cid:durableId="1481968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6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58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975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900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4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bGwMDWyMDS1tDBX0lEKTi0uzszPAykwrAUAu036MiwAAAA="/>
  </w:docVars>
  <w:rsids>
    <w:rsidRoot w:val="003E69C2"/>
    <w:rsid w:val="0001268D"/>
    <w:rsid w:val="00012814"/>
    <w:rsid w:val="00052FBA"/>
    <w:rsid w:val="00060A43"/>
    <w:rsid w:val="000C446F"/>
    <w:rsid w:val="000E39AD"/>
    <w:rsid w:val="000E6066"/>
    <w:rsid w:val="003321CD"/>
    <w:rsid w:val="00341B2F"/>
    <w:rsid w:val="003E69C2"/>
    <w:rsid w:val="00414428"/>
    <w:rsid w:val="00493F3D"/>
    <w:rsid w:val="004A0D83"/>
    <w:rsid w:val="004D5D73"/>
    <w:rsid w:val="0051197D"/>
    <w:rsid w:val="009F713E"/>
    <w:rsid w:val="00CC7774"/>
    <w:rsid w:val="00CD70F7"/>
    <w:rsid w:val="00DE2D2C"/>
    <w:rsid w:val="00E07E46"/>
    <w:rsid w:val="00E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284C7"/>
  <w15:docId w15:val="{148BF774-5102-4ACC-92A0-4A50A85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96B"/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0D8"/>
    <w:pPr>
      <w:keepNext/>
      <w:keepLines/>
      <w:pageBreakBefore/>
      <w:numPr>
        <w:numId w:val="1"/>
      </w:numPr>
      <w:spacing w:before="600"/>
      <w:outlineLvl w:val="0"/>
    </w:pPr>
    <w:rPr>
      <w:rFonts w:asciiTheme="majorHAnsi" w:eastAsiaTheme="majorEastAsia" w:hAnsiTheme="majorHAnsi" w:cstheme="majorBidi"/>
      <w:b/>
      <w:bCs/>
      <w:color w:val="FF660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0D8"/>
    <w:pPr>
      <w:keepNext/>
      <w:keepLines/>
      <w:numPr>
        <w:ilvl w:val="1"/>
        <w:numId w:val="1"/>
      </w:numPr>
      <w:spacing w:before="480"/>
      <w:outlineLvl w:val="1"/>
    </w:pPr>
    <w:rPr>
      <w:rFonts w:asciiTheme="majorHAnsi" w:eastAsiaTheme="majorEastAsia" w:hAnsiTheme="majorHAnsi" w:cstheme="majorBidi"/>
      <w:b/>
      <w:bCs/>
      <w:color w:val="FF6600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0D8"/>
    <w:pPr>
      <w:keepNext/>
      <w:keepLines/>
      <w:numPr>
        <w:ilvl w:val="2"/>
        <w:numId w:val="1"/>
      </w:numPr>
      <w:spacing w:before="360"/>
      <w:outlineLvl w:val="2"/>
    </w:pPr>
    <w:rPr>
      <w:rFonts w:asciiTheme="majorHAnsi" w:eastAsiaTheme="majorEastAsia" w:hAnsiTheme="majorHAnsi" w:cstheme="majorBidi"/>
      <w:b/>
      <w:bCs/>
      <w:color w:val="FF6600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2CCD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2E495C" w:themeColor="accent1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1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7242D" w:themeColor="accent1" w:themeShade="7F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18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42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18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18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18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A2C21"/>
    <w:pPr>
      <w:spacing w:before="300" w:after="300"/>
      <w:contextualSpacing/>
      <w:jc w:val="center"/>
    </w:pPr>
    <w:rPr>
      <w:rFonts w:asciiTheme="majorHAnsi" w:eastAsiaTheme="majorEastAsia" w:hAnsiTheme="majorHAnsi" w:cstheme="majorBidi"/>
      <w:b/>
      <w:color w:val="FF6600"/>
      <w:spacing w:val="5"/>
      <w:kern w:val="28"/>
      <w:sz w:val="44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F1A99"/>
    <w:pPr>
      <w:tabs>
        <w:tab w:val="center" w:pos="4819"/>
        <w:tab w:val="right" w:pos="9638"/>
      </w:tabs>
      <w:spacing w:before="60"/>
    </w:pPr>
    <w:rPr>
      <w:rFonts w:asciiTheme="minorHAnsi" w:eastAsiaTheme="minorEastAsia" w:hAnsiTheme="minorHAnsi" w:cstheme="minorBid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A99"/>
  </w:style>
  <w:style w:type="paragraph" w:styleId="Pidipagina">
    <w:name w:val="footer"/>
    <w:basedOn w:val="Normale"/>
    <w:link w:val="PidipaginaCarattere"/>
    <w:uiPriority w:val="99"/>
    <w:unhideWhenUsed/>
    <w:rsid w:val="00C55C3D"/>
    <w:pPr>
      <w:tabs>
        <w:tab w:val="center" w:pos="4819"/>
        <w:tab w:val="right" w:pos="9638"/>
      </w:tabs>
      <w:spacing w:before="60"/>
      <w:ind w:left="284"/>
    </w:pPr>
    <w:rPr>
      <w:rFonts w:asciiTheme="minorHAnsi" w:eastAsiaTheme="minorEastAsia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A99"/>
    <w:pPr>
      <w:spacing w:before="60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A99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0D8"/>
    <w:rPr>
      <w:rFonts w:asciiTheme="majorHAnsi" w:eastAsiaTheme="majorEastAsia" w:hAnsiTheme="majorHAnsi" w:cstheme="majorBidi"/>
      <w:b/>
      <w:bCs/>
      <w:color w:val="FF660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0D8"/>
    <w:rPr>
      <w:rFonts w:asciiTheme="majorHAnsi" w:eastAsiaTheme="majorEastAsia" w:hAnsiTheme="majorHAnsi" w:cstheme="majorBidi"/>
      <w:b/>
      <w:bCs/>
      <w:color w:val="FF6600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30D8"/>
    <w:rPr>
      <w:rFonts w:asciiTheme="majorHAnsi" w:eastAsiaTheme="majorEastAsia" w:hAnsiTheme="majorHAnsi" w:cstheme="majorBidi"/>
      <w:b/>
      <w:bCs/>
      <w:color w:val="FF6600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F2CCD"/>
    <w:rPr>
      <w:rFonts w:asciiTheme="majorHAnsi" w:eastAsiaTheme="majorEastAsia" w:hAnsiTheme="majorHAnsi" w:cstheme="majorBidi"/>
      <w:b/>
      <w:bCs/>
      <w:i/>
      <w:iCs/>
      <w:color w:val="2E495C" w:themeColor="accent1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188"/>
    <w:rPr>
      <w:rFonts w:asciiTheme="majorHAnsi" w:eastAsiaTheme="majorEastAsia" w:hAnsiTheme="majorHAnsi" w:cstheme="majorBidi"/>
      <w:color w:val="17242D" w:themeColor="accent1" w:themeShade="7F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188"/>
    <w:rPr>
      <w:rFonts w:asciiTheme="majorHAnsi" w:eastAsiaTheme="majorEastAsia" w:hAnsiTheme="majorHAnsi" w:cstheme="majorBidi"/>
      <w:i/>
      <w:iCs/>
      <w:color w:val="17242D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1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gliatabella">
    <w:name w:val="Table Grid"/>
    <w:basedOn w:val="Tabellanormale"/>
    <w:uiPriority w:val="59"/>
    <w:rsid w:val="00DB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numerato">
    <w:name w:val="Elenco numerato"/>
    <w:basedOn w:val="Normale"/>
    <w:qFormat/>
    <w:rsid w:val="00A4191C"/>
    <w:pPr>
      <w:tabs>
        <w:tab w:val="num" w:pos="720"/>
      </w:tabs>
      <w:spacing w:before="60"/>
      <w:ind w:left="720" w:hanging="720"/>
    </w:pPr>
    <w:rPr>
      <w:rFonts w:asciiTheme="minorHAnsi" w:eastAsiaTheme="minorEastAsia" w:hAnsiTheme="minorHAnsi" w:cstheme="minorBidi"/>
      <w:sz w:val="22"/>
    </w:rPr>
  </w:style>
  <w:style w:type="paragraph" w:customStyle="1" w:styleId="Nonnumerato1">
    <w:name w:val="Non numerato 1"/>
    <w:basedOn w:val="Titolo1"/>
    <w:next w:val="Normale"/>
    <w:qFormat/>
    <w:rsid w:val="002D04E2"/>
    <w:pPr>
      <w:numPr>
        <w:numId w:val="0"/>
      </w:numPr>
    </w:pPr>
  </w:style>
  <w:style w:type="paragraph" w:customStyle="1" w:styleId="Nonnumerato2">
    <w:name w:val="Non numerato 2"/>
    <w:basedOn w:val="Titolo2"/>
    <w:next w:val="Normale"/>
    <w:qFormat/>
    <w:rsid w:val="002D04E2"/>
    <w:pPr>
      <w:numPr>
        <w:ilvl w:val="0"/>
        <w:numId w:val="0"/>
      </w:numPr>
    </w:pPr>
  </w:style>
  <w:style w:type="paragraph" w:customStyle="1" w:styleId="Nonnumerato3">
    <w:name w:val="Non numerato 3"/>
    <w:basedOn w:val="Titolo3"/>
    <w:next w:val="Normale"/>
    <w:qFormat/>
    <w:rsid w:val="002D04E2"/>
    <w:pPr>
      <w:numPr>
        <w:ilvl w:val="0"/>
        <w:numId w:val="0"/>
      </w:numPr>
    </w:pPr>
  </w:style>
  <w:style w:type="paragraph" w:styleId="Titolosommario">
    <w:name w:val="TOC Heading"/>
    <w:basedOn w:val="Nonnumerato1"/>
    <w:next w:val="Normale"/>
    <w:uiPriority w:val="39"/>
    <w:unhideWhenUsed/>
    <w:qFormat/>
    <w:rsid w:val="009D2788"/>
    <w:pPr>
      <w:pageBreakBefore w:val="0"/>
      <w:spacing w:line="276" w:lineRule="auto"/>
      <w:jc w:val="left"/>
      <w:outlineLvl w:val="9"/>
    </w:pPr>
    <w:rPr>
      <w:color w:val="223644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9D2788"/>
    <w:pPr>
      <w:spacing w:before="60" w:after="100"/>
    </w:pPr>
    <w:rPr>
      <w:rFonts w:asciiTheme="minorHAnsi" w:eastAsiaTheme="minorEastAsia" w:hAnsiTheme="minorHAnsi" w:cstheme="minorBidi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9D2788"/>
    <w:pPr>
      <w:spacing w:before="60" w:after="100"/>
      <w:ind w:left="240"/>
    </w:pPr>
    <w:rPr>
      <w:rFonts w:asciiTheme="minorHAnsi" w:eastAsiaTheme="minorEastAsia" w:hAnsiTheme="minorHAnsi" w:cstheme="minorBidi"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9D2788"/>
    <w:pPr>
      <w:spacing w:before="60" w:after="100"/>
      <w:ind w:left="480"/>
    </w:pPr>
    <w:rPr>
      <w:rFonts w:asciiTheme="minorHAnsi" w:eastAsiaTheme="minorEastAsia" w:hAnsiTheme="minorHAnsi" w:cstheme="minorBid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9D2788"/>
    <w:rPr>
      <w:color w:val="356767" w:themeColor="hyperlink"/>
      <w:u w:val="single"/>
    </w:rPr>
  </w:style>
  <w:style w:type="paragraph" w:customStyle="1" w:styleId="Allegato1">
    <w:name w:val="Allegato 1"/>
    <w:basedOn w:val="Titolo1"/>
    <w:next w:val="Normale"/>
    <w:qFormat/>
    <w:rsid w:val="00714CB3"/>
    <w:pPr>
      <w:numPr>
        <w:numId w:val="0"/>
      </w:numPr>
      <w:tabs>
        <w:tab w:val="num" w:pos="720"/>
      </w:tabs>
      <w:ind w:left="720" w:hanging="720"/>
    </w:pPr>
  </w:style>
  <w:style w:type="paragraph" w:styleId="Didascalia">
    <w:name w:val="caption"/>
    <w:basedOn w:val="Normale"/>
    <w:next w:val="Normale"/>
    <w:link w:val="DidascaliaCarattere"/>
    <w:uiPriority w:val="35"/>
    <w:unhideWhenUsed/>
    <w:qFormat/>
    <w:rsid w:val="009D2788"/>
    <w:pPr>
      <w:keepNext/>
      <w:spacing w:before="60" w:after="200"/>
      <w:jc w:val="center"/>
    </w:pPr>
    <w:rPr>
      <w:rFonts w:asciiTheme="minorHAnsi" w:eastAsiaTheme="minorEastAsia" w:hAnsiTheme="minorHAnsi" w:cstheme="minorBidi"/>
      <w:b/>
      <w:bCs/>
      <w:color w:val="2E495C" w:themeColor="accent1"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27B2"/>
    <w:pPr>
      <w:spacing w:before="60"/>
      <w:ind w:left="567" w:hanging="567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27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DA7C24"/>
    <w:rPr>
      <w:vertAlign w:val="superscript"/>
    </w:rPr>
  </w:style>
  <w:style w:type="paragraph" w:customStyle="1" w:styleId="Allegato2">
    <w:name w:val="Allegato 2"/>
    <w:basedOn w:val="Titolo2"/>
    <w:next w:val="Normale"/>
    <w:qFormat/>
    <w:rsid w:val="00714CB3"/>
    <w:pPr>
      <w:numPr>
        <w:ilvl w:val="0"/>
        <w:numId w:val="0"/>
      </w:numPr>
      <w:tabs>
        <w:tab w:val="num" w:pos="1440"/>
      </w:tabs>
      <w:ind w:left="1440" w:hanging="720"/>
    </w:pPr>
  </w:style>
  <w:style w:type="paragraph" w:customStyle="1" w:styleId="Allegato3">
    <w:name w:val="Allegato 3"/>
    <w:basedOn w:val="Titolo3"/>
    <w:next w:val="Normale"/>
    <w:rsid w:val="00ED3065"/>
    <w:pPr>
      <w:numPr>
        <w:ilvl w:val="0"/>
        <w:numId w:val="0"/>
      </w:numPr>
      <w:tabs>
        <w:tab w:val="num" w:pos="2160"/>
      </w:tabs>
      <w:ind w:left="2160" w:hanging="720"/>
    </w:pPr>
  </w:style>
  <w:style w:type="paragraph" w:styleId="Paragrafoelenco">
    <w:name w:val="List Paragraph"/>
    <w:basedOn w:val="Normale"/>
    <w:uiPriority w:val="34"/>
    <w:qFormat/>
    <w:rsid w:val="0021070D"/>
    <w:pPr>
      <w:tabs>
        <w:tab w:val="num" w:pos="720"/>
      </w:tabs>
      <w:spacing w:before="60"/>
      <w:ind w:left="720" w:hanging="720"/>
      <w:contextualSpacing/>
    </w:pPr>
    <w:rPr>
      <w:rFonts w:eastAsiaTheme="minorEastAsia"/>
      <w:szCs w:val="28"/>
    </w:rPr>
  </w:style>
  <w:style w:type="paragraph" w:customStyle="1" w:styleId="Elencopuntato">
    <w:name w:val="Elenco puntato"/>
    <w:basedOn w:val="Paragrafoelenco"/>
    <w:qFormat/>
    <w:rsid w:val="00FA1899"/>
  </w:style>
  <w:style w:type="table" w:styleId="Sfondomedio2-Colore1">
    <w:name w:val="Medium Shading 2 Accent 1"/>
    <w:basedOn w:val="Tabellanormale"/>
    <w:uiPriority w:val="64"/>
    <w:rsid w:val="00705D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9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9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9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lencolettere">
    <w:name w:val="Elenco lettere"/>
    <w:basedOn w:val="Normale"/>
    <w:qFormat/>
    <w:rsid w:val="005125E0"/>
    <w:pPr>
      <w:tabs>
        <w:tab w:val="num" w:pos="720"/>
      </w:tabs>
      <w:spacing w:before="60"/>
      <w:ind w:left="720" w:hanging="720"/>
    </w:pPr>
    <w:rPr>
      <w:rFonts w:asciiTheme="minorHAnsi" w:eastAsiaTheme="minorEastAsia" w:hAnsiTheme="minorHAnsi" w:cstheme="minorBidi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8A2C21"/>
    <w:rPr>
      <w:rFonts w:asciiTheme="majorHAnsi" w:eastAsiaTheme="majorEastAsia" w:hAnsiTheme="majorHAnsi" w:cstheme="majorBidi"/>
      <w:b/>
      <w:color w:val="FF6600"/>
      <w:spacing w:val="5"/>
      <w:kern w:val="28"/>
      <w:sz w:val="44"/>
      <w:szCs w:val="48"/>
    </w:rPr>
  </w:style>
  <w:style w:type="table" w:styleId="Elencochiaro-Colore3">
    <w:name w:val="Light List Accent 3"/>
    <w:basedOn w:val="Tabellanormale"/>
    <w:uiPriority w:val="61"/>
    <w:rsid w:val="00A77BB7"/>
    <w:tblPr>
      <w:tblStyleRowBandSize w:val="1"/>
      <w:tblStyleColBandSize w:val="1"/>
      <w:tblBorders>
        <w:top w:val="single" w:sz="8" w:space="0" w:color="45A299" w:themeColor="accent3"/>
        <w:left w:val="single" w:sz="8" w:space="0" w:color="45A299" w:themeColor="accent3"/>
        <w:bottom w:val="single" w:sz="8" w:space="0" w:color="45A299" w:themeColor="accent3"/>
        <w:right w:val="single" w:sz="8" w:space="0" w:color="45A2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A2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A299" w:themeColor="accent3"/>
          <w:left w:val="single" w:sz="8" w:space="0" w:color="45A299" w:themeColor="accent3"/>
          <w:bottom w:val="single" w:sz="8" w:space="0" w:color="45A299" w:themeColor="accent3"/>
          <w:right w:val="single" w:sz="8" w:space="0" w:color="45A2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A299" w:themeColor="accent3"/>
          <w:left w:val="single" w:sz="8" w:space="0" w:color="45A299" w:themeColor="accent3"/>
          <w:bottom w:val="single" w:sz="8" w:space="0" w:color="45A299" w:themeColor="accent3"/>
          <w:right w:val="single" w:sz="8" w:space="0" w:color="45A299" w:themeColor="accent3"/>
        </w:tcBorders>
      </w:tcPr>
    </w:tblStylePr>
    <w:tblStylePr w:type="band1Horz">
      <w:tblPr/>
      <w:tcPr>
        <w:tcBorders>
          <w:top w:val="single" w:sz="8" w:space="0" w:color="45A299" w:themeColor="accent3"/>
          <w:left w:val="single" w:sz="8" w:space="0" w:color="45A299" w:themeColor="accent3"/>
          <w:bottom w:val="single" w:sz="8" w:space="0" w:color="45A299" w:themeColor="accent3"/>
          <w:right w:val="single" w:sz="8" w:space="0" w:color="45A299" w:themeColor="accent3"/>
        </w:tcBorders>
      </w:tcPr>
    </w:tblStylePr>
  </w:style>
  <w:style w:type="table" w:styleId="Sfondomedio1-Colore2">
    <w:name w:val="Medium Shading 1 Accent 2"/>
    <w:basedOn w:val="Tabellanormale"/>
    <w:uiPriority w:val="63"/>
    <w:rsid w:val="004B30C5"/>
    <w:tblPr>
      <w:tblStyleRowBandSize w:val="1"/>
      <w:tblStyleColBandSize w:val="1"/>
      <w:tblBorders>
        <w:top w:val="single" w:sz="8" w:space="0" w:color="96D8D6" w:themeColor="accent2" w:themeTint="BF"/>
        <w:left w:val="single" w:sz="8" w:space="0" w:color="96D8D6" w:themeColor="accent2" w:themeTint="BF"/>
        <w:bottom w:val="single" w:sz="8" w:space="0" w:color="96D8D6" w:themeColor="accent2" w:themeTint="BF"/>
        <w:right w:val="single" w:sz="8" w:space="0" w:color="96D8D6" w:themeColor="accent2" w:themeTint="BF"/>
        <w:insideH w:val="single" w:sz="8" w:space="0" w:color="96D8D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6" w:themeColor="accent2" w:themeTint="BF"/>
          <w:left w:val="single" w:sz="8" w:space="0" w:color="96D8D6" w:themeColor="accent2" w:themeTint="BF"/>
          <w:bottom w:val="single" w:sz="8" w:space="0" w:color="96D8D6" w:themeColor="accent2" w:themeTint="BF"/>
          <w:right w:val="single" w:sz="8" w:space="0" w:color="96D8D6" w:themeColor="accent2" w:themeTint="BF"/>
          <w:insideH w:val="nil"/>
          <w:insideV w:val="nil"/>
        </w:tcBorders>
        <w:shd w:val="clear" w:color="auto" w:fill="73CB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6" w:themeColor="accent2" w:themeTint="BF"/>
          <w:left w:val="single" w:sz="8" w:space="0" w:color="96D8D6" w:themeColor="accent2" w:themeTint="BF"/>
          <w:bottom w:val="single" w:sz="8" w:space="0" w:color="96D8D6" w:themeColor="accent2" w:themeTint="BF"/>
          <w:right w:val="single" w:sz="8" w:space="0" w:color="96D8D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14335D"/>
    <w:rPr>
      <w:color w:val="808080"/>
    </w:rPr>
  </w:style>
  <w:style w:type="paragraph" w:customStyle="1" w:styleId="Elencolibero">
    <w:name w:val="Elenco libero"/>
    <w:basedOn w:val="Paragrafoelenco"/>
    <w:qFormat/>
    <w:rsid w:val="009213C9"/>
  </w:style>
  <w:style w:type="character" w:styleId="Rimandocommento">
    <w:name w:val="annotation reference"/>
    <w:basedOn w:val="Carpredefinitoparagrafo"/>
    <w:uiPriority w:val="99"/>
    <w:semiHidden/>
    <w:unhideWhenUsed/>
    <w:rsid w:val="00757A4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A4F"/>
    <w:pPr>
      <w:spacing w:before="60"/>
    </w:pPr>
    <w:rPr>
      <w:rFonts w:asciiTheme="minorHAnsi" w:eastAsiaTheme="minorEastAsia" w:hAnsiTheme="minorHAnsi" w:cstheme="minorBidi"/>
      <w:sz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A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A4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A4F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09536D"/>
  </w:style>
  <w:style w:type="character" w:styleId="Enfasidelicata">
    <w:name w:val="Subtle Emphasis"/>
    <w:basedOn w:val="Carpredefinitoparagrafo"/>
    <w:uiPriority w:val="19"/>
    <w:qFormat/>
    <w:rsid w:val="008A2C21"/>
    <w:rPr>
      <w:color w:val="FF6600"/>
      <w:sz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536D"/>
    <w:rPr>
      <w:color w:val="4FBCBD" w:themeColor="followed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60"/>
      <w:jc w:val="center"/>
    </w:pPr>
    <w:rPr>
      <w:rFonts w:eastAsia="Arial"/>
      <w:i/>
      <w:color w:val="595959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2C21"/>
    <w:rPr>
      <w:rFonts w:asciiTheme="majorHAnsi" w:eastAsiaTheme="majorEastAsia" w:hAnsiTheme="majorHAnsi" w:cstheme="majorBidi"/>
      <w:i/>
      <w:iCs/>
      <w:color w:val="595959" w:themeColor="text1" w:themeTint="A6"/>
      <w:spacing w:val="15"/>
    </w:rPr>
  </w:style>
  <w:style w:type="paragraph" w:styleId="NormaleWeb">
    <w:name w:val="Normal (Web)"/>
    <w:basedOn w:val="Normale"/>
    <w:uiPriority w:val="99"/>
    <w:unhideWhenUsed/>
    <w:rsid w:val="0078762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DidascaliaCarattere">
    <w:name w:val="Didascalia Carattere"/>
    <w:link w:val="Didascalia"/>
    <w:locked/>
    <w:rsid w:val="00787621"/>
    <w:rPr>
      <w:b/>
      <w:bCs/>
      <w:color w:val="2E495C" w:themeColor="accent1"/>
      <w:sz w:val="20"/>
      <w:szCs w:val="18"/>
    </w:rPr>
  </w:style>
  <w:style w:type="paragraph" w:customStyle="1" w:styleId="Testotabella">
    <w:name w:val="Testo tabella"/>
    <w:basedOn w:val="Normale"/>
    <w:qFormat/>
    <w:rsid w:val="00EB6BA0"/>
    <w:rPr>
      <w:rFonts w:asciiTheme="minorHAnsi" w:eastAsiaTheme="minorEastAsia" w:hAnsiTheme="minorHAnsi" w:cstheme="minorBidi"/>
      <w:color w:val="000000" w:themeColor="text1" w:themeShade="BF"/>
      <w:lang w:eastAsia="en-US"/>
    </w:rPr>
  </w:style>
  <w:style w:type="table" w:styleId="Tabellagriglia2-colore1">
    <w:name w:val="Grid Table 2 Accent 1"/>
    <w:basedOn w:val="Tabellanormale"/>
    <w:uiPriority w:val="47"/>
    <w:rsid w:val="00F33948"/>
    <w:tblPr>
      <w:tblStyleRowBandSize w:val="1"/>
      <w:tblStyleColBandSize w:val="1"/>
      <w:tblBorders>
        <w:top w:val="single" w:sz="2" w:space="0" w:color="6A95B4" w:themeColor="accent1" w:themeTint="99"/>
        <w:bottom w:val="single" w:sz="2" w:space="0" w:color="6A95B4" w:themeColor="accent1" w:themeTint="99"/>
        <w:insideH w:val="single" w:sz="2" w:space="0" w:color="6A95B4" w:themeColor="accent1" w:themeTint="99"/>
        <w:insideV w:val="single" w:sz="2" w:space="0" w:color="6A95B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95B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95B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BE6" w:themeFill="accent1" w:themeFillTint="33"/>
      </w:tcPr>
    </w:tblStylePr>
    <w:tblStylePr w:type="band1Horz">
      <w:tblPr/>
      <w:tcPr>
        <w:shd w:val="clear" w:color="auto" w:fill="CDDBE6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F33948"/>
    <w:tblPr>
      <w:tblStyleRowBandSize w:val="1"/>
      <w:tblStyleColBandSize w:val="1"/>
      <w:tblBorders>
        <w:top w:val="single" w:sz="4" w:space="0" w:color="6A95B4" w:themeColor="accent1" w:themeTint="99"/>
        <w:left w:val="single" w:sz="4" w:space="0" w:color="6A95B4" w:themeColor="accent1" w:themeTint="99"/>
        <w:bottom w:val="single" w:sz="4" w:space="0" w:color="6A95B4" w:themeColor="accent1" w:themeTint="99"/>
        <w:right w:val="single" w:sz="4" w:space="0" w:color="6A95B4" w:themeColor="accent1" w:themeTint="99"/>
        <w:insideH w:val="single" w:sz="4" w:space="0" w:color="6A95B4" w:themeColor="accent1" w:themeTint="99"/>
        <w:insideV w:val="single" w:sz="4" w:space="0" w:color="6A95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95C" w:themeColor="accent1"/>
          <w:left w:val="single" w:sz="4" w:space="0" w:color="2E495C" w:themeColor="accent1"/>
          <w:bottom w:val="single" w:sz="4" w:space="0" w:color="2E495C" w:themeColor="accent1"/>
          <w:right w:val="single" w:sz="4" w:space="0" w:color="2E495C" w:themeColor="accent1"/>
          <w:insideH w:val="nil"/>
          <w:insideV w:val="nil"/>
        </w:tcBorders>
        <w:shd w:val="clear" w:color="auto" w:fill="2E495C" w:themeFill="accent1"/>
      </w:tcPr>
    </w:tblStylePr>
    <w:tblStylePr w:type="lastRow">
      <w:rPr>
        <w:b/>
        <w:bCs/>
      </w:rPr>
      <w:tblPr/>
      <w:tcPr>
        <w:tcBorders>
          <w:top w:val="double" w:sz="4" w:space="0" w:color="2E49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BE6" w:themeFill="accent1" w:themeFillTint="33"/>
      </w:tcPr>
    </w:tblStylePr>
    <w:tblStylePr w:type="band1Horz">
      <w:tblPr/>
      <w:tcPr>
        <w:shd w:val="clear" w:color="auto" w:fill="CDDBE6" w:themeFill="accent1" w:themeFillTint="33"/>
      </w:tcPr>
    </w:tblStylePr>
  </w:style>
  <w:style w:type="table" w:styleId="Elencochiaro">
    <w:name w:val="Light List"/>
    <w:basedOn w:val="Tabellanormale"/>
    <w:unhideWhenUsed/>
    <w:rsid w:val="00F339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4">
    <w:name w:val="Grid Table 4"/>
    <w:basedOn w:val="Tabellanormale"/>
    <w:uiPriority w:val="49"/>
    <w:rsid w:val="00F339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4">
    <w:name w:val="Grid Table 4 Accent 4"/>
    <w:basedOn w:val="Tabellanormale"/>
    <w:uiPriority w:val="49"/>
    <w:rsid w:val="00F33948"/>
    <w:tblPr>
      <w:tblStyleRowBandSize w:val="1"/>
      <w:tblStyleColBandSize w:val="1"/>
      <w:tblBorders>
        <w:top w:val="single" w:sz="4" w:space="0" w:color="94B4B4" w:themeColor="accent4" w:themeTint="99"/>
        <w:left w:val="single" w:sz="4" w:space="0" w:color="94B4B4" w:themeColor="accent4" w:themeTint="99"/>
        <w:bottom w:val="single" w:sz="4" w:space="0" w:color="94B4B4" w:themeColor="accent4" w:themeTint="99"/>
        <w:right w:val="single" w:sz="4" w:space="0" w:color="94B4B4" w:themeColor="accent4" w:themeTint="99"/>
        <w:insideH w:val="single" w:sz="4" w:space="0" w:color="94B4B4" w:themeColor="accent4" w:themeTint="99"/>
        <w:insideV w:val="single" w:sz="4" w:space="0" w:color="9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B7B" w:themeColor="accent4"/>
          <w:left w:val="single" w:sz="4" w:space="0" w:color="567B7B" w:themeColor="accent4"/>
          <w:bottom w:val="single" w:sz="4" w:space="0" w:color="567B7B" w:themeColor="accent4"/>
          <w:right w:val="single" w:sz="4" w:space="0" w:color="567B7B" w:themeColor="accent4"/>
          <w:insideH w:val="nil"/>
          <w:insideV w:val="nil"/>
        </w:tcBorders>
        <w:shd w:val="clear" w:color="auto" w:fill="567B7B" w:themeFill="accent4"/>
      </w:tcPr>
    </w:tblStylePr>
    <w:tblStylePr w:type="lastRow">
      <w:rPr>
        <w:b/>
        <w:bCs/>
      </w:rPr>
      <w:tblPr/>
      <w:tcPr>
        <w:tcBorders>
          <w:top w:val="double" w:sz="4" w:space="0" w:color="567B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6" w:themeFill="accent4" w:themeFillTint="33"/>
      </w:tcPr>
    </w:tblStylePr>
    <w:tblStylePr w:type="band1Horz">
      <w:tblPr/>
      <w:tcPr>
        <w:shd w:val="clear" w:color="auto" w:fill="DBE6E6" w:themeFill="accent4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F339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5"/>
      </w:tcPr>
    </w:tblStylePr>
    <w:tblStylePr w:type="band1Vert">
      <w:tblPr/>
      <w:tcPr>
        <w:shd w:val="clear" w:color="auto" w:fill="BCBCBC" w:themeFill="accent5" w:themeFillTint="66"/>
      </w:tcPr>
    </w:tblStylePr>
    <w:tblStylePr w:type="band1Horz">
      <w:tblPr/>
      <w:tcPr>
        <w:shd w:val="clear" w:color="auto" w:fill="BCBCBC" w:themeFill="accent5" w:themeFillTint="66"/>
      </w:tcPr>
    </w:tblStylePr>
  </w:style>
  <w:style w:type="paragraph" w:styleId="Revisione">
    <w:name w:val="Revision"/>
    <w:hidden/>
    <w:uiPriority w:val="99"/>
    <w:semiHidden/>
    <w:rsid w:val="00AC7B5C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7442E"/>
    <w:rPr>
      <w:b/>
      <w:bCs/>
    </w:rPr>
  </w:style>
  <w:style w:type="character" w:styleId="Enfasicorsivo">
    <w:name w:val="Emphasis"/>
    <w:basedOn w:val="Carpredefinitoparagrafo"/>
    <w:uiPriority w:val="20"/>
    <w:qFormat/>
    <w:rsid w:val="0087442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E31"/>
    <w:rPr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CA5605"/>
    <w:rPr>
      <w:b/>
      <w:bCs/>
      <w:i/>
      <w:iCs/>
      <w:color w:val="2E495C" w:themeColor="accent1"/>
    </w:rPr>
  </w:style>
  <w:style w:type="character" w:customStyle="1" w:styleId="apple-converted-space">
    <w:name w:val="apple-converted-space"/>
    <w:basedOn w:val="Carpredefinitoparagrafo"/>
    <w:rsid w:val="004A655E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DDD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pforum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asapsmf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RIS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E495C"/>
      </a:accent1>
      <a:accent2>
        <a:srgbClr val="73CBC9"/>
      </a:accent2>
      <a:accent3>
        <a:srgbClr val="45A299"/>
      </a:accent3>
      <a:accent4>
        <a:srgbClr val="567B7B"/>
      </a:accent4>
      <a:accent5>
        <a:srgbClr val="595959"/>
      </a:accent5>
      <a:accent6>
        <a:srgbClr val="000000"/>
      </a:accent6>
      <a:hlink>
        <a:srgbClr val="356767"/>
      </a:hlink>
      <a:folHlink>
        <a:srgbClr val="4FBCB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ghw4vIJk7ai5ZLprFYEZFU6+A==">CgMxLjA4AHIhMUxib3FhNmZMSi1PbjJNb2d2ZUVwbnZOR25xdThOeHot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Adrodegari</dc:creator>
  <cp:lastModifiedBy>Martina Cerea</cp:lastModifiedBy>
  <cp:revision>3</cp:revision>
  <dcterms:created xsi:type="dcterms:W3CDTF">2023-10-05T08:37:00Z</dcterms:created>
  <dcterms:modified xsi:type="dcterms:W3CDTF">2023-11-09T10:21:00Z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87e5222fc3436ebb8524c4503ab3e956a51afc6cd42da058ed72eda9684b8c42</vt:lpwstr>
  </property>
</Properties>
</file>