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168" w14:textId="1E2B1AB9" w:rsidR="00A23A14" w:rsidRPr="00D94562" w:rsidRDefault="00273F17" w:rsidP="00004F06">
      <w:pPr>
        <w:jc w:val="center"/>
        <w:rPr>
          <w:rFonts w:ascii="Rubik" w:eastAsia="Rubik" w:hAnsi="Rubik" w:cs="Rubik"/>
          <w:u w:val="single"/>
        </w:rPr>
      </w:pPr>
      <w:r>
        <w:rPr>
          <w:rFonts w:ascii="Rubik" w:eastAsia="Rubik" w:hAnsi="Rubik" w:cs="Rubik"/>
          <w:u w:val="single"/>
        </w:rPr>
        <w:t>COMUNICATO STAMP</w:t>
      </w:r>
      <w:r w:rsidR="00947A6A">
        <w:rPr>
          <w:rFonts w:ascii="Rubik" w:eastAsia="Rubik" w:hAnsi="Rubik" w:cs="Rubik"/>
          <w:u w:val="single"/>
        </w:rPr>
        <w:t>A</w:t>
      </w:r>
    </w:p>
    <w:p w14:paraId="1DDF9027" w14:textId="77777777" w:rsidR="004772CE" w:rsidRPr="004772CE" w:rsidRDefault="004772CE" w:rsidP="004772CE">
      <w:pPr>
        <w:jc w:val="both"/>
        <w:rPr>
          <w:rFonts w:ascii="Rubik" w:hAnsi="Rubik" w:cs="Rubik"/>
          <w:sz w:val="28"/>
          <w:szCs w:val="28"/>
        </w:rPr>
      </w:pPr>
    </w:p>
    <w:p w14:paraId="02288A80" w14:textId="39D846AF" w:rsidR="004772CE" w:rsidRPr="00273F17" w:rsidRDefault="004772CE" w:rsidP="001F6311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4772CE">
        <w:rPr>
          <w:rFonts w:ascii="Rubik" w:hAnsi="Rubik" w:cs="Rubik"/>
          <w:b/>
          <w:bCs/>
          <w:sz w:val="28"/>
          <w:szCs w:val="28"/>
        </w:rPr>
        <w:t>UNIBG</w:t>
      </w:r>
      <w:r w:rsidR="00273F17">
        <w:rPr>
          <w:rFonts w:ascii="Rubik" w:hAnsi="Rubik" w:cs="Rubik"/>
          <w:b/>
          <w:bCs/>
          <w:sz w:val="28"/>
          <w:szCs w:val="28"/>
        </w:rPr>
        <w:t xml:space="preserve"> APPROVA IL BILANCIO DI PREVISIONE ANNUALE E TRIENNALE</w:t>
      </w:r>
    </w:p>
    <w:p w14:paraId="482830E1" w14:textId="77777777" w:rsidR="004772CE" w:rsidRPr="004772CE" w:rsidRDefault="004772CE" w:rsidP="004772CE">
      <w:pPr>
        <w:rPr>
          <w:rFonts w:ascii="Rubik" w:hAnsi="Rubik" w:cs="Rubik"/>
          <w:b/>
          <w:bCs/>
          <w:i/>
          <w:iCs/>
        </w:rPr>
      </w:pPr>
    </w:p>
    <w:p w14:paraId="3282D942" w14:textId="696F1AA8" w:rsidR="00273F17" w:rsidRDefault="004772CE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273F17">
        <w:rPr>
          <w:rFonts w:ascii="Rubik" w:hAnsi="Rubik" w:cs="Rubik" w:hint="cs"/>
          <w:i/>
          <w:iCs/>
        </w:rPr>
        <w:t xml:space="preserve">Bergamo, </w:t>
      </w:r>
      <w:r w:rsidR="00273F17" w:rsidRPr="00273F17">
        <w:rPr>
          <w:rFonts w:ascii="Rubik" w:hAnsi="Rubik" w:cs="Rubik"/>
          <w:i/>
          <w:iCs/>
        </w:rPr>
        <w:t>17</w:t>
      </w:r>
      <w:r w:rsidRPr="00273F17">
        <w:rPr>
          <w:rFonts w:ascii="Rubik" w:hAnsi="Rubik" w:cs="Rubik" w:hint="cs"/>
          <w:i/>
          <w:iCs/>
        </w:rPr>
        <w:t xml:space="preserve"> dicembre 2024</w:t>
      </w:r>
      <w:r w:rsidRPr="00273F17">
        <w:rPr>
          <w:rFonts w:ascii="Rubik" w:hAnsi="Rubik" w:cs="Rubik" w:hint="cs"/>
        </w:rPr>
        <w:t xml:space="preserve"> –</w:t>
      </w:r>
      <w:r w:rsidR="006F6923" w:rsidRPr="00273F17">
        <w:rPr>
          <w:rFonts w:ascii="Rubik" w:hAnsi="Rubik" w:cs="Rubik" w:hint="cs"/>
        </w:rPr>
        <w:t xml:space="preserve">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L’Università d</w:t>
      </w:r>
      <w:r w:rsidR="001F6311">
        <w:rPr>
          <w:rFonts w:ascii="Rubik" w:hAnsi="Rubik" w:cs="Rubik"/>
          <w:color w:val="222222"/>
          <w:shd w:val="clear" w:color="auto" w:fill="FFFFFF"/>
        </w:rPr>
        <w:t>egli studi d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i Bergamo approva il</w:t>
      </w:r>
      <w:r w:rsidR="00273F17">
        <w:rPr>
          <w:rFonts w:ascii="Rubik" w:hAnsi="Rubik" w:cs="Rubik"/>
          <w:color w:val="222222"/>
          <w:shd w:val="clear" w:color="auto" w:fill="FFFFFF"/>
        </w:rPr>
        <w:t xml:space="preserve"> </w:t>
      </w:r>
      <w:r w:rsidR="00273F17"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bilancio di previsione annuale</w:t>
      </w:r>
      <w:r w:rsidR="00273F17">
        <w:rPr>
          <w:rFonts w:ascii="Rubik" w:hAnsi="Rubik" w:cs="Rubik"/>
          <w:color w:val="222222"/>
          <w:shd w:val="clear" w:color="auto" w:fill="FFFFFF"/>
        </w:rPr>
        <w:t xml:space="preserve">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(2025) e</w:t>
      </w:r>
      <w:r w:rsidR="00273F17">
        <w:rPr>
          <w:rFonts w:ascii="Rubik" w:hAnsi="Rubik" w:cs="Rubik"/>
          <w:color w:val="222222"/>
          <w:shd w:val="clear" w:color="auto" w:fill="FFFFFF"/>
        </w:rPr>
        <w:t xml:space="preserve"> </w:t>
      </w:r>
      <w:r w:rsidR="00273F17"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triennale</w:t>
      </w:r>
      <w:r w:rsidR="00273F17">
        <w:rPr>
          <w:rStyle w:val="Enfasigrassetto"/>
          <w:rFonts w:ascii="Rubik" w:hAnsi="Rubik" w:cs="Rubik"/>
          <w:color w:val="222222"/>
          <w:shd w:val="clear" w:color="auto" w:fill="FFFFFF"/>
        </w:rPr>
        <w:t xml:space="preserve">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(2025-2027): al centro della manovra, approvata da Senato Accademico e Consiglio di Amministrazione</w:t>
      </w:r>
      <w:r w:rsidR="001F6311">
        <w:rPr>
          <w:rFonts w:ascii="Rubik" w:hAnsi="Rubik" w:cs="Rubik"/>
          <w:color w:val="222222"/>
          <w:shd w:val="clear" w:color="auto" w:fill="FFFFFF"/>
        </w:rPr>
        <w:t xml:space="preserve"> d’Ateneo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 xml:space="preserve">, l’impegno di continuare con la politica di </w:t>
      </w:r>
      <w:r w:rsidR="00273F17" w:rsidRPr="001F6311">
        <w:rPr>
          <w:rFonts w:ascii="Rubik" w:hAnsi="Rubik" w:cs="Rubik" w:hint="cs"/>
          <w:b/>
          <w:bCs/>
          <w:color w:val="222222"/>
          <w:shd w:val="clear" w:color="auto" w:fill="FFFFFF"/>
        </w:rPr>
        <w:t xml:space="preserve">crescita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 xml:space="preserve">e </w:t>
      </w:r>
      <w:r w:rsidR="00273F17" w:rsidRPr="001F6311">
        <w:rPr>
          <w:rFonts w:ascii="Rubik" w:hAnsi="Rubik" w:cs="Rubik" w:hint="cs"/>
          <w:b/>
          <w:bCs/>
          <w:color w:val="222222"/>
          <w:shd w:val="clear" w:color="auto" w:fill="FFFFFF"/>
        </w:rPr>
        <w:t>consolidamento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, con la necessaria prudenza che il momento impone.</w:t>
      </w:r>
      <w:r w:rsidR="00A15D86">
        <w:rPr>
          <w:rFonts w:ascii="Rubik" w:hAnsi="Rubik" w:cs="Rubik"/>
          <w:color w:val="222222"/>
          <w:shd w:val="clear" w:color="auto" w:fill="FFFFFF"/>
        </w:rPr>
        <w:t xml:space="preserve"> Infatti, g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li impegni assunti vengono mantenuti anche di fronte all’andamento</w:t>
      </w:r>
      <w:r w:rsidR="001F6311">
        <w:rPr>
          <w:rFonts w:ascii="Rubik" w:hAnsi="Rubik" w:cs="Rubik"/>
          <w:color w:val="222222"/>
          <w:shd w:val="clear" w:color="auto" w:fill="FFFFFF"/>
        </w:rPr>
        <w:t>,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 xml:space="preserve"> in controtendenza rispetto agli ultimi anni, dell’assegnazione del </w:t>
      </w:r>
      <w:r w:rsidR="00273F17"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Fondo di Finanziamento Ordinario</w:t>
      </w:r>
      <w:r w:rsidR="00B82C81">
        <w:rPr>
          <w:rStyle w:val="Enfasigrassetto"/>
          <w:rFonts w:ascii="Rubik" w:hAnsi="Rubik" w:cs="Rubik"/>
          <w:color w:val="222222"/>
          <w:shd w:val="clear" w:color="auto" w:fill="FFFFFF"/>
        </w:rPr>
        <w:t xml:space="preserve">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(FFO) per il 2024</w:t>
      </w:r>
      <w:r w:rsidR="001F6311">
        <w:rPr>
          <w:rFonts w:ascii="Rubik" w:hAnsi="Rubik" w:cs="Rubik"/>
          <w:color w:val="222222"/>
          <w:shd w:val="clear" w:color="auto" w:fill="FFFFFF"/>
        </w:rPr>
        <w:t xml:space="preserve">, 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>che</w:t>
      </w:r>
      <w:r w:rsidR="00D2517F">
        <w:rPr>
          <w:rFonts w:ascii="Rubik" w:hAnsi="Rubik" w:cs="Rubik"/>
          <w:color w:val="222222"/>
          <w:shd w:val="clear" w:color="auto" w:fill="FFFFFF"/>
        </w:rPr>
        <w:t xml:space="preserve"> complessivamente</w:t>
      </w:r>
      <w:r w:rsidR="00273F17" w:rsidRPr="00273F17">
        <w:rPr>
          <w:rFonts w:ascii="Rubik" w:hAnsi="Rubik" w:cs="Rubik" w:hint="cs"/>
          <w:color w:val="222222"/>
          <w:shd w:val="clear" w:color="auto" w:fill="FFFFFF"/>
        </w:rPr>
        <w:t xml:space="preserve"> è stato inferiore di circa 5 milioni di euro</w:t>
      </w:r>
      <w:r w:rsidR="001F6311">
        <w:rPr>
          <w:rFonts w:ascii="Rubik" w:hAnsi="Rubik" w:cs="Rubik"/>
          <w:color w:val="222222"/>
          <w:shd w:val="clear" w:color="auto" w:fill="FFFFFF"/>
        </w:rPr>
        <w:t xml:space="preserve"> rispetto </w:t>
      </w:r>
      <w:r w:rsidR="001F6311" w:rsidRPr="00273F17">
        <w:rPr>
          <w:rFonts w:ascii="Rubik" w:hAnsi="Rubik" w:cs="Rubik" w:hint="cs"/>
          <w:color w:val="222222"/>
          <w:shd w:val="clear" w:color="auto" w:fill="FFFFFF"/>
        </w:rPr>
        <w:t>all’anno precedent</w:t>
      </w:r>
      <w:r w:rsidR="001F6311">
        <w:rPr>
          <w:rFonts w:ascii="Rubik" w:hAnsi="Rubik" w:cs="Rubik"/>
          <w:color w:val="222222"/>
          <w:shd w:val="clear" w:color="auto" w:fill="FFFFFF"/>
        </w:rPr>
        <w:t>e.</w:t>
      </w:r>
    </w:p>
    <w:p w14:paraId="0A8BE9A5" w14:textId="77777777" w:rsidR="00273F17" w:rsidRPr="00273F17" w:rsidRDefault="00273F17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60D57CC9" w14:textId="011EA9DE" w:rsidR="00273F17" w:rsidRDefault="00273F17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È confermato nel budget il </w:t>
      </w:r>
      <w:r w:rsidRPr="001F6311">
        <w:rPr>
          <w:rFonts w:ascii="Rubik" w:hAnsi="Rubik" w:cs="Rubik" w:hint="cs"/>
          <w:b/>
          <w:bCs/>
          <w:color w:val="222222"/>
          <w:shd w:val="clear" w:color="auto" w:fill="FFFFFF"/>
        </w:rPr>
        <w:t>programma di reclutamento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oggetto della programmazione triennale, sia per docenti che per personale tecnico amministrativo, al fine di raggiungere </w:t>
      </w:r>
      <w:r w:rsidRPr="001F6311">
        <w:rPr>
          <w:rFonts w:ascii="Rubik" w:hAnsi="Rubik" w:cs="Rubik" w:hint="cs"/>
          <w:b/>
          <w:bCs/>
          <w:color w:val="222222"/>
          <w:shd w:val="clear" w:color="auto" w:fill="FFFFFF"/>
        </w:rPr>
        <w:t>equilibri sostenibili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nel rapporto tra docenti e studenti, </w:t>
      </w:r>
      <w:r>
        <w:rPr>
          <w:rFonts w:ascii="Rubik" w:hAnsi="Rubik" w:cs="Rubik"/>
          <w:color w:val="222222"/>
          <w:shd w:val="clear" w:color="auto" w:fill="FFFFFF"/>
        </w:rPr>
        <w:t>PTA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e docenti e anche tra le componenti del personale di ateneo. P</w:t>
      </w:r>
      <w:r w:rsidR="001F6311">
        <w:rPr>
          <w:rFonts w:ascii="Rubik" w:hAnsi="Rubik" w:cs="Rubik"/>
          <w:color w:val="222222"/>
          <w:shd w:val="clear" w:color="auto" w:fill="FFFFFF"/>
        </w:rPr>
        <w:t>osta p</w:t>
      </w:r>
      <w:r w:rsidRPr="00273F17">
        <w:rPr>
          <w:rFonts w:ascii="Rubik" w:hAnsi="Rubik" w:cs="Rubik" w:hint="cs"/>
          <w:color w:val="222222"/>
          <w:shd w:val="clear" w:color="auto" w:fill="FFFFFF"/>
        </w:rPr>
        <w:t>articolare attenzione anche agli </w:t>
      </w:r>
      <w:r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investimenti edilizi e tecnologici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 e ai progetti </w:t>
      </w:r>
      <w:r w:rsidR="001F6311">
        <w:rPr>
          <w:rFonts w:ascii="Rubik" w:hAnsi="Rubik" w:cs="Rubik"/>
          <w:color w:val="222222"/>
          <w:shd w:val="clear" w:color="auto" w:fill="FFFFFF"/>
        </w:rPr>
        <w:t>a</w:t>
      </w:r>
      <w:r w:rsidRPr="00273F17">
        <w:rPr>
          <w:rFonts w:ascii="Rubik" w:hAnsi="Rubik" w:cs="Rubik" w:hint="cs"/>
          <w:color w:val="222222"/>
          <w:shd w:val="clear" w:color="auto" w:fill="FFFFFF"/>
        </w:rPr>
        <w:t>mbiziosi del P</w:t>
      </w:r>
      <w:r w:rsidR="00D2517F">
        <w:rPr>
          <w:rFonts w:ascii="Rubik" w:hAnsi="Rubik" w:cs="Rubik"/>
          <w:color w:val="222222"/>
          <w:shd w:val="clear" w:color="auto" w:fill="FFFFFF"/>
        </w:rPr>
        <w:t>iano Strategico di Ateneo</w:t>
      </w:r>
      <w:r w:rsidR="00B82C81">
        <w:rPr>
          <w:rFonts w:ascii="Rubik" w:hAnsi="Rubik" w:cs="Rubik"/>
          <w:color w:val="222222"/>
          <w:shd w:val="clear" w:color="auto" w:fill="FFFFFF"/>
        </w:rPr>
        <w:t>.</w:t>
      </w:r>
    </w:p>
    <w:p w14:paraId="6F078CF2" w14:textId="77777777" w:rsidR="00273F17" w:rsidRPr="00273F17" w:rsidRDefault="00273F17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19AB4625" w14:textId="731B3F9B" w:rsidR="00273F17" w:rsidRDefault="00273F17" w:rsidP="00273F17">
      <w:pPr>
        <w:jc w:val="both"/>
        <w:rPr>
          <w:rFonts w:ascii="Rubik" w:hAnsi="Rubik" w:cs="Rubik"/>
          <w:color w:val="222222"/>
        </w:rPr>
      </w:pPr>
      <w:r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Uni</w:t>
      </w:r>
      <w:r w:rsidR="00210AE4">
        <w:rPr>
          <w:rStyle w:val="Enfasigrassetto"/>
          <w:rFonts w:ascii="Rubik" w:hAnsi="Rubik" w:cs="Rubik"/>
          <w:color w:val="222222"/>
          <w:shd w:val="clear" w:color="auto" w:fill="FFFFFF"/>
        </w:rPr>
        <w:t>B</w:t>
      </w:r>
      <w:r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 xml:space="preserve">g proseguirà come da programmazione i propri progetti </w:t>
      </w:r>
      <w:r w:rsidRPr="00273F17">
        <w:rPr>
          <w:rFonts w:ascii="Rubik" w:hAnsi="Rubik" w:cs="Rubik" w:hint="cs"/>
          <w:color w:val="222222"/>
        </w:rPr>
        <w:t>che coniugano</w:t>
      </w:r>
      <w:r w:rsidR="001F6311"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sostenibilità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ambientale,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modernizzazione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infrastrutturale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e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valorizzazione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del patrimonio storico e culturale</w:t>
      </w:r>
      <w:r w:rsidR="001F6311"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per</w:t>
      </w:r>
      <w:r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 xml:space="preserve">rispondere alle esigenze di una comunità accademica in crescita. I più importanti riguardano il complesso immobiliare di </w:t>
      </w:r>
      <w:r w:rsidR="00061C2B">
        <w:rPr>
          <w:rFonts w:ascii="Rubik" w:hAnsi="Rubik" w:cs="Rubik"/>
          <w:b/>
          <w:bCs/>
          <w:color w:val="222222"/>
        </w:rPr>
        <w:t>v</w:t>
      </w:r>
      <w:r w:rsidRPr="001F6311">
        <w:rPr>
          <w:rFonts w:ascii="Rubik" w:hAnsi="Rubik" w:cs="Rubik" w:hint="cs"/>
          <w:b/>
          <w:bCs/>
          <w:color w:val="222222"/>
        </w:rPr>
        <w:t>ia Statuto</w:t>
      </w:r>
      <w:r w:rsidRPr="00273F17">
        <w:rPr>
          <w:rFonts w:ascii="Rubik" w:hAnsi="Rubik" w:cs="Rubik" w:hint="cs"/>
          <w:color w:val="222222"/>
        </w:rPr>
        <w:t xml:space="preserve">, che vede rifunzionalizzato il centro sportivo con nuove </w:t>
      </w:r>
      <w:r w:rsidRPr="001F6311">
        <w:rPr>
          <w:rFonts w:ascii="Rubik" w:hAnsi="Rubik" w:cs="Rubik" w:hint="cs"/>
          <w:b/>
          <w:bCs/>
          <w:color w:val="222222"/>
        </w:rPr>
        <w:t>piscine e palestre</w:t>
      </w:r>
      <w:r w:rsidRPr="00273F17">
        <w:rPr>
          <w:rFonts w:ascii="Rubik" w:hAnsi="Rubik" w:cs="Rubik" w:hint="cs"/>
          <w:color w:val="222222"/>
        </w:rPr>
        <w:t xml:space="preserve"> oltre a spazi destinati a </w:t>
      </w:r>
      <w:r w:rsidRPr="001F6311">
        <w:rPr>
          <w:rFonts w:ascii="Rubik" w:hAnsi="Rubik" w:cs="Rubik" w:hint="cs"/>
          <w:b/>
          <w:bCs/>
          <w:color w:val="222222"/>
        </w:rPr>
        <w:t>nuove aule e uffici</w:t>
      </w:r>
      <w:r w:rsidRPr="00273F17">
        <w:rPr>
          <w:rFonts w:ascii="Rubik" w:hAnsi="Rubik" w:cs="Rubik" w:hint="cs"/>
          <w:color w:val="222222"/>
        </w:rPr>
        <w:t xml:space="preserve"> (</w:t>
      </w:r>
      <w:r w:rsidRPr="00273F17">
        <w:rPr>
          <w:rFonts w:ascii="Rubik" w:hAnsi="Rubik" w:cs="Rubik" w:hint="cs"/>
          <w:color w:val="000000"/>
        </w:rPr>
        <w:t xml:space="preserve">per i quali i lavori sono stati avviati per stralci funzionali – chiusura lavori 2027) </w:t>
      </w:r>
      <w:r w:rsidRPr="00273F17">
        <w:rPr>
          <w:rFonts w:ascii="Rubik" w:hAnsi="Rubik" w:cs="Rubik" w:hint="cs"/>
          <w:color w:val="222222"/>
        </w:rPr>
        <w:t xml:space="preserve">e </w:t>
      </w:r>
      <w:r w:rsidRPr="001F6311">
        <w:rPr>
          <w:rFonts w:ascii="Rubik" w:hAnsi="Rubik" w:cs="Rubik" w:hint="cs"/>
          <w:b/>
          <w:bCs/>
          <w:color w:val="222222"/>
        </w:rPr>
        <w:t>residenze universitarie</w:t>
      </w:r>
      <w:r w:rsidRPr="00273F17">
        <w:rPr>
          <w:rFonts w:ascii="Rubik" w:hAnsi="Rubik" w:cs="Rubik" w:hint="cs"/>
          <w:color w:val="222222"/>
        </w:rPr>
        <w:t xml:space="preserve">, a cui si aggiungono, a beneficio del territorio, </w:t>
      </w:r>
      <w:r w:rsidR="001F6311" w:rsidRPr="00061C2B">
        <w:rPr>
          <w:rFonts w:ascii="Rubik" w:hAnsi="Rubik" w:cs="Rubik"/>
          <w:color w:val="222222"/>
        </w:rPr>
        <w:t xml:space="preserve">due </w:t>
      </w:r>
      <w:r w:rsidRPr="00061C2B">
        <w:rPr>
          <w:rFonts w:ascii="Rubik" w:hAnsi="Rubik" w:cs="Rubik" w:hint="cs"/>
          <w:color w:val="222222"/>
        </w:rPr>
        <w:t>parcheggi</w:t>
      </w:r>
      <w:r w:rsidRPr="00273F17">
        <w:rPr>
          <w:rFonts w:ascii="Rubik" w:hAnsi="Rubik" w:cs="Rubik" w:hint="cs"/>
          <w:color w:val="222222"/>
        </w:rPr>
        <w:t>, uno destinato ai dipendenti e l’altro aperto al pubblico; l</w:t>
      </w:r>
      <w:r w:rsidR="00061C2B">
        <w:rPr>
          <w:rFonts w:ascii="Rubik" w:hAnsi="Rubik" w:cs="Rubik"/>
          <w:color w:val="222222"/>
        </w:rPr>
        <w:t>’ex C</w:t>
      </w:r>
      <w:r w:rsidRPr="00273F17">
        <w:rPr>
          <w:rFonts w:ascii="Rubik" w:hAnsi="Rubik" w:cs="Rubik" w:hint="cs"/>
          <w:color w:val="222222"/>
        </w:rPr>
        <w:t xml:space="preserve">aserma </w:t>
      </w:r>
      <w:r w:rsidRPr="001F6311">
        <w:rPr>
          <w:rFonts w:ascii="Rubik" w:hAnsi="Rubik" w:cs="Rubik" w:hint="cs"/>
          <w:b/>
          <w:bCs/>
          <w:color w:val="222222"/>
        </w:rPr>
        <w:t>Montelungo-Colleoni</w:t>
      </w:r>
      <w:r w:rsidRPr="00273F17">
        <w:rPr>
          <w:rFonts w:ascii="Rubik" w:hAnsi="Rubik" w:cs="Rubik" w:hint="cs"/>
          <w:color w:val="222222"/>
        </w:rPr>
        <w:t xml:space="preserve">, che ospiterà </w:t>
      </w:r>
      <w:r w:rsidRPr="00061C2B">
        <w:rPr>
          <w:rFonts w:ascii="Rubik" w:hAnsi="Rubik" w:cs="Rubik" w:hint="cs"/>
          <w:b/>
          <w:bCs/>
          <w:color w:val="222222"/>
        </w:rPr>
        <w:t>282 posti letto per studenti</w:t>
      </w:r>
      <w:r w:rsidRPr="00273F17">
        <w:rPr>
          <w:rFonts w:ascii="Rubik" w:hAnsi="Rubik" w:cs="Rubik" w:hint="cs"/>
          <w:color w:val="222222"/>
        </w:rPr>
        <w:t xml:space="preserve"> e </w:t>
      </w:r>
      <w:r w:rsidRPr="00061C2B">
        <w:rPr>
          <w:rFonts w:ascii="Rubik" w:hAnsi="Rubik" w:cs="Rubik" w:hint="cs"/>
          <w:b/>
          <w:bCs/>
          <w:color w:val="222222"/>
        </w:rPr>
        <w:t>7 aule didattiche</w:t>
      </w:r>
      <w:r w:rsidRPr="00273F17">
        <w:rPr>
          <w:rFonts w:ascii="Rubik" w:hAnsi="Rubik" w:cs="Rubik" w:hint="cs"/>
          <w:color w:val="222222"/>
        </w:rPr>
        <w:t xml:space="preserve"> (</w:t>
      </w:r>
      <w:r w:rsidR="00061C2B">
        <w:rPr>
          <w:rFonts w:ascii="Rubik" w:hAnsi="Rubik" w:cs="Rubik"/>
          <w:color w:val="000000"/>
        </w:rPr>
        <w:t xml:space="preserve">disponibili </w:t>
      </w:r>
      <w:r w:rsidRPr="00273F17">
        <w:rPr>
          <w:rFonts w:ascii="Rubik" w:hAnsi="Rubik" w:cs="Rubik" w:hint="cs"/>
          <w:color w:val="000000"/>
        </w:rPr>
        <w:t>entro il 2027)</w:t>
      </w:r>
      <w:r w:rsidRPr="00273F17">
        <w:rPr>
          <w:rFonts w:ascii="Rubik" w:hAnsi="Rubik" w:cs="Rubik" w:hint="cs"/>
          <w:color w:val="222222"/>
        </w:rPr>
        <w:t xml:space="preserve"> grazie a un progetto in</w:t>
      </w:r>
      <w:r w:rsidR="00061C2B">
        <w:rPr>
          <w:rFonts w:ascii="Rubik" w:hAnsi="Rubik" w:cs="Rubik"/>
          <w:color w:val="222222"/>
        </w:rPr>
        <w:t xml:space="preserve"> </w:t>
      </w:r>
      <w:r w:rsidRPr="00273F17">
        <w:rPr>
          <w:rFonts w:ascii="Rubik" w:hAnsi="Rubik" w:cs="Rubik" w:hint="cs"/>
          <w:color w:val="222222"/>
        </w:rPr>
        <w:t>partenariato pubblico-privato; la rifunzionalizzazione del Campus economico</w:t>
      </w:r>
      <w:r w:rsidR="00061C2B">
        <w:rPr>
          <w:rFonts w:ascii="Rubik" w:hAnsi="Rubik" w:cs="Rubik"/>
          <w:color w:val="222222"/>
        </w:rPr>
        <w:t>-g</w:t>
      </w:r>
      <w:r w:rsidRPr="00273F17">
        <w:rPr>
          <w:rFonts w:ascii="Rubik" w:hAnsi="Rubik" w:cs="Rubik" w:hint="cs"/>
          <w:color w:val="222222"/>
        </w:rPr>
        <w:t xml:space="preserve">iuridico di </w:t>
      </w:r>
      <w:r w:rsidRPr="00061C2B">
        <w:rPr>
          <w:rFonts w:ascii="Rubik" w:hAnsi="Rubik" w:cs="Rubik" w:hint="cs"/>
          <w:b/>
          <w:bCs/>
          <w:color w:val="222222"/>
        </w:rPr>
        <w:t>via dei Caniana</w:t>
      </w:r>
      <w:r w:rsidRPr="00273F17">
        <w:rPr>
          <w:rFonts w:ascii="Rubik" w:hAnsi="Rubik" w:cs="Rubik" w:hint="cs"/>
          <w:color w:val="222222"/>
        </w:rPr>
        <w:t xml:space="preserve"> </w:t>
      </w:r>
      <w:r w:rsidRPr="00273F17">
        <w:rPr>
          <w:rFonts w:ascii="Rubik" w:hAnsi="Rubik" w:cs="Rubik" w:hint="cs"/>
          <w:color w:val="000000"/>
        </w:rPr>
        <w:t>(</w:t>
      </w:r>
      <w:r w:rsidR="00D2517F">
        <w:rPr>
          <w:rFonts w:ascii="Rubik" w:hAnsi="Rubik" w:cs="Rubik"/>
          <w:color w:val="000000"/>
        </w:rPr>
        <w:t>prevista per il</w:t>
      </w:r>
      <w:r w:rsidR="00D2517F" w:rsidRPr="00273F17">
        <w:rPr>
          <w:rFonts w:ascii="Rubik" w:hAnsi="Rubik" w:cs="Rubik" w:hint="cs"/>
          <w:color w:val="000000"/>
        </w:rPr>
        <w:t xml:space="preserve"> </w:t>
      </w:r>
      <w:r w:rsidRPr="00273F17">
        <w:rPr>
          <w:rFonts w:ascii="Rubik" w:hAnsi="Rubik" w:cs="Rubik" w:hint="cs"/>
          <w:color w:val="000000"/>
        </w:rPr>
        <w:t>2025)</w:t>
      </w:r>
      <w:r w:rsidRPr="00273F17">
        <w:rPr>
          <w:rFonts w:ascii="Rubik" w:hAnsi="Rubik" w:cs="Rubik" w:hint="cs"/>
          <w:color w:val="222222"/>
        </w:rPr>
        <w:t xml:space="preserve">, attraverso un’opera di </w:t>
      </w:r>
      <w:r w:rsidRPr="00061C2B">
        <w:rPr>
          <w:rFonts w:ascii="Rubik" w:hAnsi="Rubik" w:cs="Rubik" w:hint="cs"/>
          <w:b/>
          <w:bCs/>
          <w:color w:val="222222"/>
        </w:rPr>
        <w:t>ottimizzazione degli spazi</w:t>
      </w:r>
      <w:r w:rsidRPr="00273F17">
        <w:rPr>
          <w:rFonts w:ascii="Rubik" w:hAnsi="Rubik" w:cs="Rubik" w:hint="cs"/>
          <w:color w:val="222222"/>
        </w:rPr>
        <w:t xml:space="preserve"> al primo e secondo piano per rispondere alle esigenze di una didattica flessibile e moderna; il restauro della </w:t>
      </w:r>
      <w:r w:rsidRPr="00061C2B">
        <w:rPr>
          <w:rFonts w:ascii="Rubik" w:hAnsi="Rubik" w:cs="Rubik" w:hint="cs"/>
          <w:b/>
          <w:bCs/>
          <w:color w:val="222222"/>
        </w:rPr>
        <w:t>sacrestia di Sant’Agostino</w:t>
      </w:r>
      <w:r w:rsidRPr="00273F17">
        <w:rPr>
          <w:rFonts w:ascii="Rubik" w:hAnsi="Rubik" w:cs="Rubik" w:hint="cs"/>
          <w:color w:val="222222"/>
        </w:rPr>
        <w:t xml:space="preserve">, </w:t>
      </w:r>
      <w:r w:rsidRPr="00273F17">
        <w:rPr>
          <w:rFonts w:ascii="Rubik" w:hAnsi="Rubik" w:cs="Rubik" w:hint="cs"/>
          <w:bCs/>
          <w:color w:val="000000"/>
        </w:rPr>
        <w:t>da realizzarsi nel 2025</w:t>
      </w:r>
      <w:r w:rsidR="00061C2B">
        <w:rPr>
          <w:rFonts w:ascii="Rubik" w:hAnsi="Rubik" w:cs="Rubik"/>
          <w:bCs/>
          <w:color w:val="000000"/>
        </w:rPr>
        <w:t>,</w:t>
      </w:r>
      <w:r w:rsidRPr="00273F17">
        <w:rPr>
          <w:rFonts w:ascii="Rubik" w:hAnsi="Rubik" w:cs="Rubik" w:hint="cs"/>
          <w:color w:val="222222"/>
        </w:rPr>
        <w:t xml:space="preserve"> e la riqualificazione della </w:t>
      </w:r>
      <w:r w:rsidR="00061C2B">
        <w:rPr>
          <w:rFonts w:ascii="Rubik" w:hAnsi="Rubik" w:cs="Rubik"/>
          <w:b/>
          <w:bCs/>
          <w:color w:val="222222"/>
        </w:rPr>
        <w:t>C</w:t>
      </w:r>
      <w:r w:rsidRPr="00061C2B">
        <w:rPr>
          <w:rFonts w:ascii="Rubik" w:hAnsi="Rubik" w:cs="Rubik" w:hint="cs"/>
          <w:b/>
          <w:bCs/>
          <w:color w:val="222222"/>
        </w:rPr>
        <w:t>entrale Enel a Dalmine</w:t>
      </w:r>
      <w:r w:rsidRPr="00273F17">
        <w:rPr>
          <w:rFonts w:ascii="Rubik" w:hAnsi="Rubik" w:cs="Rubik" w:hint="cs"/>
          <w:color w:val="222222"/>
        </w:rPr>
        <w:t xml:space="preserve">, </w:t>
      </w:r>
      <w:r w:rsidR="00D2517F">
        <w:rPr>
          <w:rFonts w:ascii="Rubik" w:hAnsi="Rubik" w:cs="Rubik"/>
          <w:color w:val="222222"/>
        </w:rPr>
        <w:t xml:space="preserve">al fine di </w:t>
      </w:r>
      <w:r w:rsidR="00D2517F" w:rsidRPr="00273F17">
        <w:rPr>
          <w:rFonts w:ascii="Rubik" w:hAnsi="Rubik" w:cs="Rubik" w:hint="cs"/>
          <w:color w:val="222222"/>
        </w:rPr>
        <w:t xml:space="preserve"> favorire una didattica innovativa e flessibile</w:t>
      </w:r>
      <w:r w:rsidR="00D2517F">
        <w:rPr>
          <w:rFonts w:ascii="Rubik" w:hAnsi="Rubik" w:cs="Rubik"/>
          <w:color w:val="222222"/>
        </w:rPr>
        <w:t xml:space="preserve"> anche attraverso la realizzazione di laboratori didattici.</w:t>
      </w:r>
      <w:r w:rsidRPr="00273F17">
        <w:rPr>
          <w:rFonts w:ascii="Rubik" w:hAnsi="Rubik" w:cs="Rubik" w:hint="cs"/>
          <w:color w:val="222222"/>
        </w:rPr>
        <w:t xml:space="preserve"> </w:t>
      </w:r>
    </w:p>
    <w:p w14:paraId="4107FD23" w14:textId="77777777" w:rsidR="00273F17" w:rsidRPr="00273F17" w:rsidRDefault="00273F17" w:rsidP="00273F17">
      <w:pPr>
        <w:jc w:val="both"/>
        <w:rPr>
          <w:rFonts w:ascii="Rubik" w:hAnsi="Rubik" w:cs="Rubik"/>
          <w:color w:val="222222"/>
        </w:rPr>
      </w:pPr>
    </w:p>
    <w:p w14:paraId="67E3F786" w14:textId="694A5A25" w:rsidR="00273F17" w:rsidRDefault="00061C2B" w:rsidP="00273F17">
      <w:pPr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Significativa l’</w:t>
      </w:r>
      <w:r w:rsidR="00273F17" w:rsidRPr="00273F17">
        <w:rPr>
          <w:rFonts w:ascii="Rubik" w:hAnsi="Rubik" w:cs="Rubik" w:hint="cs"/>
          <w:color w:val="222222"/>
        </w:rPr>
        <w:t xml:space="preserve">attenzione alla </w:t>
      </w:r>
      <w:r w:rsidR="00273F17" w:rsidRPr="00061C2B">
        <w:rPr>
          <w:rFonts w:ascii="Rubik" w:hAnsi="Rubik" w:cs="Rubik" w:hint="cs"/>
          <w:b/>
          <w:bCs/>
          <w:color w:val="222222"/>
        </w:rPr>
        <w:t>sostenibilità</w:t>
      </w:r>
      <w:r>
        <w:rPr>
          <w:rFonts w:ascii="Rubik" w:hAnsi="Rubik" w:cs="Rubik"/>
          <w:color w:val="222222"/>
        </w:rPr>
        <w:t>:</w:t>
      </w:r>
      <w:r w:rsidR="00273F17" w:rsidRPr="00273F17">
        <w:rPr>
          <w:rFonts w:ascii="Rubik" w:hAnsi="Rubik" w:cs="Rubik" w:hint="cs"/>
          <w:color w:val="222222"/>
        </w:rPr>
        <w:t xml:space="preserve"> sono previsti investimenti volti alla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riduzione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dei consumi energetici</w:t>
      </w:r>
      <w:r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e alla minimizzazione dell’impatto ambientale,</w:t>
      </w:r>
      <w:r w:rsidR="00273F17">
        <w:rPr>
          <w:rFonts w:ascii="Rubik" w:hAnsi="Rubik" w:cs="Rubik"/>
          <w:color w:val="222222"/>
        </w:rPr>
        <w:t xml:space="preserve"> </w:t>
      </w:r>
      <w:r w:rsidR="00D2517F">
        <w:rPr>
          <w:rFonts w:ascii="Rubik" w:hAnsi="Rubik" w:cs="Rubik"/>
          <w:color w:val="222222"/>
        </w:rPr>
        <w:t>con</w:t>
      </w:r>
      <w:r w:rsidR="00D2517F" w:rsidRPr="00273F17">
        <w:rPr>
          <w:rFonts w:ascii="Rubik" w:hAnsi="Rubik" w:cs="Rubik" w:hint="cs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l’installazione di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061C2B">
        <w:rPr>
          <w:rFonts w:ascii="Rubik" w:hAnsi="Rubik" w:cs="Rubik" w:hint="cs"/>
          <w:b/>
          <w:bCs/>
          <w:color w:val="222222"/>
        </w:rPr>
        <w:t>nuovi impianti fotovoltaici</w:t>
      </w:r>
      <w:r w:rsidR="00273F17" w:rsidRPr="00273F17">
        <w:rPr>
          <w:rFonts w:ascii="Rubik" w:hAnsi="Rubik" w:cs="Rubik" w:hint="cs"/>
          <w:color w:val="222222"/>
        </w:rPr>
        <w:t xml:space="preserve"> in diversi edifici e la realizzazione di un progetto di </w:t>
      </w:r>
      <w:r w:rsidR="00273F17" w:rsidRPr="00061C2B">
        <w:rPr>
          <w:rFonts w:ascii="Rubik" w:hAnsi="Rubik" w:cs="Rubik" w:hint="cs"/>
          <w:b/>
          <w:bCs/>
          <w:color w:val="222222"/>
        </w:rPr>
        <w:t>illuminazione efficiente</w:t>
      </w:r>
      <w:r w:rsidR="00273F17" w:rsidRPr="00273F17">
        <w:rPr>
          <w:rFonts w:ascii="Rubik" w:hAnsi="Rubik" w:cs="Rubik" w:hint="cs"/>
          <w:color w:val="222222"/>
        </w:rPr>
        <w:t xml:space="preserve"> che prevede la sostituzione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 xml:space="preserve">diffusa sul campus </w:t>
      </w:r>
      <w:r w:rsidR="00273F17" w:rsidRPr="00273F17">
        <w:rPr>
          <w:rFonts w:ascii="Rubik" w:hAnsi="Rubik" w:cs="Rubik" w:hint="cs"/>
          <w:color w:val="222222"/>
        </w:rPr>
        <w:lastRenderedPageBreak/>
        <w:t>di tutti i corpi illuminanti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con dispositivi a basso consumo. Tali interventi ridurranno significativamente le emissioni, trasformando l’ateneo in un</w:t>
      </w:r>
      <w:r w:rsidR="00273F17">
        <w:rPr>
          <w:rFonts w:ascii="Rubik" w:hAnsi="Rubik" w:cs="Rubik"/>
          <w:color w:val="222222"/>
        </w:rPr>
        <w:t xml:space="preserve"> </w:t>
      </w:r>
      <w:r w:rsidR="00273F17" w:rsidRPr="00273F17">
        <w:rPr>
          <w:rFonts w:ascii="Rubik" w:hAnsi="Rubik" w:cs="Rubik" w:hint="cs"/>
          <w:color w:val="222222"/>
        </w:rPr>
        <w:t>modello di sostenibilità.</w:t>
      </w:r>
    </w:p>
    <w:p w14:paraId="78E059EB" w14:textId="77777777" w:rsidR="00273F17" w:rsidRDefault="00273F17" w:rsidP="00273F17">
      <w:pPr>
        <w:jc w:val="both"/>
        <w:rPr>
          <w:rFonts w:ascii="Rubik" w:hAnsi="Rubik" w:cs="Rubik"/>
          <w:color w:val="222222"/>
        </w:rPr>
      </w:pPr>
    </w:p>
    <w:p w14:paraId="1B4574F2" w14:textId="583B9A94" w:rsidR="006F4795" w:rsidRDefault="00273F17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273F17">
        <w:rPr>
          <w:rFonts w:ascii="Rubik" w:hAnsi="Rubik" w:cs="Rubik" w:hint="cs"/>
          <w:color w:val="222222"/>
        </w:rPr>
        <w:t>Nella definizione del Bilancio di previsione è stato necessario rivedere alcune scelte per ottimizzare l’utilizzo delle risorse</w:t>
      </w:r>
      <w:r w:rsidR="00061C2B">
        <w:rPr>
          <w:rFonts w:ascii="Rubik" w:hAnsi="Rubik" w:cs="Rubik"/>
          <w:color w:val="222222"/>
        </w:rPr>
        <w:t>,</w:t>
      </w:r>
      <w:r w:rsidRPr="00273F17">
        <w:rPr>
          <w:rFonts w:ascii="Rubik" w:hAnsi="Rubik" w:cs="Rubik" w:hint="cs"/>
          <w:color w:val="222222"/>
        </w:rPr>
        <w:t xml:space="preserve"> </w:t>
      </w:r>
      <w:r w:rsidR="00061C2B">
        <w:rPr>
          <w:rFonts w:ascii="Rubik" w:hAnsi="Rubik" w:cs="Rubik"/>
          <w:color w:val="222222"/>
        </w:rPr>
        <w:t xml:space="preserve">pur </w:t>
      </w:r>
      <w:r w:rsidR="00061C2B" w:rsidRPr="00061C2B">
        <w:rPr>
          <w:rFonts w:ascii="Rubik" w:hAnsi="Rubik" w:cs="Rubik"/>
          <w:b/>
          <w:bCs/>
          <w:color w:val="222222"/>
        </w:rPr>
        <w:t>mantenendo</w:t>
      </w:r>
      <w:r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 xml:space="preserve"> le politiche relative al welfare</w:t>
      </w:r>
      <w:r w:rsidRPr="00273F17">
        <w:rPr>
          <w:rFonts w:ascii="Rubik" w:hAnsi="Rubik" w:cs="Rubik" w:hint="cs"/>
          <w:color w:val="222222"/>
          <w:shd w:val="clear" w:color="auto" w:fill="FFFFFF"/>
        </w:rPr>
        <w:t> e alla </w:t>
      </w:r>
      <w:r w:rsidRPr="00273F17">
        <w:rPr>
          <w:rStyle w:val="Enfasigrassetto"/>
          <w:rFonts w:ascii="Rubik" w:hAnsi="Rubik" w:cs="Rubik" w:hint="cs"/>
          <w:color w:val="222222"/>
          <w:shd w:val="clear" w:color="auto" w:fill="FFFFFF"/>
        </w:rPr>
        <w:t>formazione</w:t>
      </w:r>
      <w:r w:rsidRPr="00273F17">
        <w:rPr>
          <w:rFonts w:ascii="Rubik" w:hAnsi="Rubik" w:cs="Rubik" w:hint="cs"/>
          <w:color w:val="222222"/>
          <w:shd w:val="clear" w:color="auto" w:fill="FFFFFF"/>
        </w:rPr>
        <w:t> 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del personale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, su cui si ritiene di investire per favorire il miglioramento organizzativo che non è possibile raggiungere solo con nuove assunzioni.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Da</w:t>
      </w:r>
      <w:r w:rsidR="00D2517F">
        <w:rPr>
          <w:rFonts w:ascii="Rubik" w:hAnsi="Rubik" w:cs="Rubik"/>
          <w:b/>
          <w:bCs/>
          <w:color w:val="222222"/>
          <w:shd w:val="clear" w:color="auto" w:fill="FFFFFF"/>
        </w:rPr>
        <w:t>l 2021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il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personale docente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di Uni</w:t>
      </w:r>
      <w:r w:rsidR="00210AE4">
        <w:rPr>
          <w:rFonts w:ascii="Rubik" w:hAnsi="Rubik" w:cs="Rubik"/>
          <w:color w:val="222222"/>
          <w:shd w:val="clear" w:color="auto" w:fill="FFFFFF"/>
        </w:rPr>
        <w:t>B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g è aumentato del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 xml:space="preserve">35% </w:t>
      </w:r>
      <w:r w:rsidR="00D2517F">
        <w:rPr>
          <w:rFonts w:ascii="Rubik" w:hAnsi="Rubik" w:cs="Rubik"/>
          <w:color w:val="222222"/>
          <w:shd w:val="clear" w:color="auto" w:fill="FFFFFF"/>
        </w:rPr>
        <w:t>così come il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personale tecnico amministrativo</w:t>
      </w:r>
      <w:r w:rsidR="00D2517F">
        <w:rPr>
          <w:rFonts w:ascii="Rubik" w:hAnsi="Rubik" w:cs="Rubik"/>
          <w:b/>
          <w:bCs/>
          <w:color w:val="222222"/>
          <w:shd w:val="clear" w:color="auto" w:fill="FFFFFF"/>
        </w:rPr>
        <w:t>.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</w:t>
      </w:r>
      <w:r w:rsidR="00061C2B">
        <w:rPr>
          <w:rFonts w:ascii="Rubik" w:hAnsi="Rubik" w:cs="Rubik"/>
          <w:color w:val="222222"/>
          <w:shd w:val="clear" w:color="auto" w:fill="FFFFFF"/>
        </w:rPr>
        <w:t>Anche il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numero dei corsi di studio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è cresciuto e si apre il percorso per l’accreditamento di </w:t>
      </w:r>
      <w:r w:rsidRPr="00061C2B">
        <w:rPr>
          <w:rFonts w:ascii="Rubik" w:hAnsi="Rubik" w:cs="Rubik" w:hint="cs"/>
          <w:b/>
          <w:bCs/>
          <w:color w:val="222222"/>
          <w:shd w:val="clear" w:color="auto" w:fill="FFFFFF"/>
        </w:rPr>
        <w:t>nuovi percorsi formativi innovativi</w:t>
      </w:r>
      <w:r w:rsidRPr="00273F17">
        <w:rPr>
          <w:rFonts w:ascii="Rubik" w:hAnsi="Rubik" w:cs="Rubik" w:hint="cs"/>
          <w:color w:val="222222"/>
          <w:shd w:val="clear" w:color="auto" w:fill="FFFFFF"/>
        </w:rPr>
        <w:t xml:space="preserve"> e all’altezza delle sfide del mondo contemporaneo.</w:t>
      </w:r>
    </w:p>
    <w:p w14:paraId="346C57B1" w14:textId="77777777" w:rsidR="006F4795" w:rsidRDefault="006F4795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22624B66" w14:textId="557A4E7B" w:rsidR="005C02E0" w:rsidRDefault="006F4795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  <w:bookmarkStart w:id="0" w:name="OLE_LINK4"/>
      <w:r>
        <w:rPr>
          <w:rFonts w:ascii="Rubik" w:hAnsi="Rubik" w:cs="Rubik"/>
          <w:color w:val="222222"/>
          <w:shd w:val="clear" w:color="auto" w:fill="FFFFFF"/>
        </w:rPr>
        <w:t xml:space="preserve">Anche la squadra di </w:t>
      </w:r>
      <w:r w:rsidRPr="000E00BD">
        <w:rPr>
          <w:rFonts w:ascii="Rubik" w:hAnsi="Rubik" w:cs="Rubik"/>
          <w:b/>
          <w:bCs/>
          <w:color w:val="222222"/>
          <w:shd w:val="clear" w:color="auto" w:fill="FFFFFF"/>
        </w:rPr>
        <w:t xml:space="preserve">prorettori e delegati </w:t>
      </w:r>
      <w:r w:rsidR="000E00BD" w:rsidRPr="000E00BD">
        <w:rPr>
          <w:rFonts w:ascii="Rubik" w:hAnsi="Rubik" w:cs="Rubik"/>
          <w:b/>
          <w:bCs/>
          <w:color w:val="222222"/>
          <w:shd w:val="clear" w:color="auto" w:fill="FFFFFF"/>
        </w:rPr>
        <w:t>del Rettore</w:t>
      </w:r>
      <w:r w:rsidR="000E00BD">
        <w:rPr>
          <w:rFonts w:ascii="Rubik" w:hAnsi="Rubik" w:cs="Rubik"/>
          <w:color w:val="222222"/>
          <w:shd w:val="clear" w:color="auto" w:fill="FFFFFF"/>
        </w:rPr>
        <w:t xml:space="preserve"> </w:t>
      </w:r>
      <w:r>
        <w:rPr>
          <w:rFonts w:ascii="Rubik" w:hAnsi="Rubik" w:cs="Rubik"/>
          <w:color w:val="222222"/>
          <w:shd w:val="clear" w:color="auto" w:fill="FFFFFF"/>
        </w:rPr>
        <w:t>ha visto qualche modif</w:t>
      </w:r>
      <w:r w:rsidR="000E00BD">
        <w:rPr>
          <w:rFonts w:ascii="Rubik" w:hAnsi="Rubik" w:cs="Rubik"/>
          <w:color w:val="222222"/>
          <w:shd w:val="clear" w:color="auto" w:fill="FFFFFF"/>
        </w:rPr>
        <w:t xml:space="preserve">ica nella sua formazione, con la riconferma del mandato triennale di buona parte degli incaricati originari e alcune novità sul fronte dei delegati (per la formazione aggiornata della squadra </w:t>
      </w:r>
      <w:proofErr w:type="spellStart"/>
      <w:r w:rsidR="000E00BD">
        <w:rPr>
          <w:rFonts w:ascii="Rubik" w:hAnsi="Rubik" w:cs="Rubik"/>
          <w:color w:val="222222"/>
          <w:shd w:val="clear" w:color="auto" w:fill="FFFFFF"/>
        </w:rPr>
        <w:t>prorettorale</w:t>
      </w:r>
      <w:proofErr w:type="spellEnd"/>
      <w:r w:rsidR="000E00BD">
        <w:rPr>
          <w:rFonts w:ascii="Rubik" w:hAnsi="Rubik" w:cs="Rubik"/>
          <w:color w:val="222222"/>
          <w:shd w:val="clear" w:color="auto" w:fill="FFFFFF"/>
        </w:rPr>
        <w:t xml:space="preserve"> e di delegati si rimanda al sito:  </w:t>
      </w:r>
      <w:hyperlink r:id="rId9" w:history="1">
        <w:r w:rsidR="000E00BD" w:rsidRPr="00943433">
          <w:rPr>
            <w:rStyle w:val="Collegamentoipertestuale"/>
            <w:rFonts w:ascii="Rubik" w:hAnsi="Rubik" w:cs="Rubik"/>
            <w:shd w:val="clear" w:color="auto" w:fill="FFFFFF"/>
          </w:rPr>
          <w:t>https://www.unibg.it/ateneo/organizzazione/organi-e-organismi/prorettorati-e-deleghe</w:t>
        </w:r>
      </w:hyperlink>
      <w:r w:rsidR="000E00BD">
        <w:rPr>
          <w:rFonts w:ascii="Rubik" w:hAnsi="Rubik" w:cs="Rubik"/>
          <w:color w:val="222222"/>
          <w:shd w:val="clear" w:color="auto" w:fill="FFFFFF"/>
        </w:rPr>
        <w:t xml:space="preserve">). </w:t>
      </w:r>
    </w:p>
    <w:bookmarkEnd w:id="0"/>
    <w:p w14:paraId="1767F184" w14:textId="77777777" w:rsidR="000E00BD" w:rsidRDefault="000E00BD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6028D28B" w14:textId="01A5FE54" w:rsidR="004772CE" w:rsidRPr="00061C2B" w:rsidRDefault="00273F17" w:rsidP="00273F1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273F17">
        <w:rPr>
          <w:rFonts w:ascii="Rubik" w:hAnsi="Rubik" w:cs="Rubik" w:hint="cs"/>
          <w:color w:val="222222"/>
          <w:shd w:val="clear" w:color="auto" w:fill="FFFFFF"/>
        </w:rPr>
        <w:t>Il Direttore generale</w:t>
      </w:r>
      <w:r w:rsidR="00061C2B">
        <w:rPr>
          <w:rFonts w:ascii="Rubik" w:hAnsi="Rubik" w:cs="Rubik"/>
          <w:color w:val="222222"/>
          <w:shd w:val="clear" w:color="auto" w:fill="FFFFFF"/>
        </w:rPr>
        <w:t xml:space="preserve"> </w:t>
      </w:r>
      <w:r w:rsidR="00061C2B" w:rsidRPr="00061C2B">
        <w:rPr>
          <w:rFonts w:ascii="Rubik" w:hAnsi="Rubik" w:cs="Rubik"/>
          <w:b/>
          <w:bCs/>
          <w:color w:val="222222"/>
          <w:shd w:val="clear" w:color="auto" w:fill="FFFFFF"/>
        </w:rPr>
        <w:t>Michela Pilot</w:t>
      </w:r>
      <w:r w:rsidR="00061C2B">
        <w:rPr>
          <w:rFonts w:ascii="Rubik" w:hAnsi="Rubik" w:cs="Rubik"/>
          <w:b/>
          <w:bCs/>
          <w:color w:val="222222"/>
          <w:shd w:val="clear" w:color="auto" w:fill="FFFFFF"/>
        </w:rPr>
        <w:t xml:space="preserve"> </w:t>
      </w:r>
      <w:r w:rsidR="00061C2B" w:rsidRPr="00061C2B">
        <w:rPr>
          <w:rFonts w:ascii="Rubik" w:hAnsi="Rubik" w:cs="Rubik"/>
          <w:color w:val="222222"/>
          <w:shd w:val="clear" w:color="auto" w:fill="FFFFFF"/>
        </w:rPr>
        <w:t>spiega</w:t>
      </w:r>
      <w:r w:rsidRPr="00273F17">
        <w:rPr>
          <w:rFonts w:ascii="Rubik" w:hAnsi="Rubik" w:cs="Rubik" w:hint="cs"/>
          <w:color w:val="222222"/>
          <w:shd w:val="clear" w:color="auto" w:fill="FFFFFF"/>
        </w:rPr>
        <w:t>:</w:t>
      </w:r>
      <w:r>
        <w:rPr>
          <w:rFonts w:ascii="Rubik" w:hAnsi="Rubik" w:cs="Rubik"/>
          <w:color w:val="222222"/>
          <w:shd w:val="clear" w:color="auto" w:fill="FFFFFF"/>
        </w:rPr>
        <w:t xml:space="preserve"> </w:t>
      </w:r>
      <w:r w:rsidRPr="00273F17">
        <w:rPr>
          <w:rFonts w:ascii="Rubik" w:hAnsi="Rubik" w:cs="Rubik" w:hint="cs"/>
          <w:color w:val="222222"/>
          <w:shd w:val="clear" w:color="auto" w:fill="FFFFFF"/>
        </w:rPr>
        <w:t>“</w:t>
      </w:r>
      <w:r w:rsidRPr="00273F17">
        <w:rPr>
          <w:rFonts w:ascii="Rubik" w:hAnsi="Rubik" w:cs="Rubik" w:hint="cs"/>
          <w:i/>
          <w:color w:val="222222"/>
          <w:shd w:val="clear" w:color="auto" w:fill="FFFFFF"/>
        </w:rPr>
        <w:t>L’incertezza rispetto al contenuto definitivo della legge di bilancio in tema di reclutamento, la revisione annunciata dal MUR dei criteri di riparto del FFO a partire dal 2025 impongono prudenza ma anche l’impegno a un monitoraggio costante dell’impatto, in termini di sostenibilità a medio lungo termine, delle decisioni strategiche assunte dagli organi; stiamo vivendo un periodo di straordinaria complessità a valle di opportunità eccezionali che richiedono azioni responsabili”.</w:t>
      </w:r>
    </w:p>
    <w:p w14:paraId="7CDB75DA" w14:textId="77777777" w:rsidR="00210AE4" w:rsidRPr="00683559" w:rsidRDefault="00210AE4" w:rsidP="00273F17">
      <w:pPr>
        <w:jc w:val="both"/>
        <w:rPr>
          <w:rFonts w:ascii="Rubik" w:hAnsi="Rubik" w:cs="Rubik"/>
          <w:color w:val="333333"/>
          <w:shd w:val="clear" w:color="auto" w:fill="FFFFFF"/>
        </w:rPr>
      </w:pPr>
    </w:p>
    <w:p w14:paraId="18E7EC46" w14:textId="132F885E" w:rsidR="00210AE4" w:rsidRDefault="00683559" w:rsidP="00273F17">
      <w:pPr>
        <w:jc w:val="both"/>
        <w:rPr>
          <w:rFonts w:ascii="Rubik" w:hAnsi="Rubik" w:cs="Rubik"/>
          <w:color w:val="333333"/>
          <w:shd w:val="clear" w:color="auto" w:fill="FFFFFF"/>
        </w:rPr>
      </w:pPr>
      <w:r w:rsidRPr="00683559">
        <w:rPr>
          <w:rFonts w:ascii="Rubik" w:hAnsi="Rubik" w:cs="Rubik" w:hint="cs"/>
          <w:b/>
          <w:bCs/>
          <w:color w:val="333333"/>
          <w:shd w:val="clear" w:color="auto" w:fill="FFFFFF"/>
        </w:rPr>
        <w:t>Cristiana Cattaneo</w:t>
      </w:r>
      <w:r w:rsidRPr="00683559">
        <w:rPr>
          <w:rFonts w:ascii="Rubik" w:hAnsi="Rubik" w:cs="Rubik" w:hint="cs"/>
          <w:color w:val="333333"/>
          <w:shd w:val="clear" w:color="auto" w:fill="FFFFFF"/>
        </w:rPr>
        <w:t>, Prorettore con delega alla programmazione e al bilancio di ateneo dell’Università degli studi di Bergamo</w:t>
      </w:r>
      <w:r>
        <w:rPr>
          <w:rFonts w:ascii="Rubik" w:hAnsi="Rubik" w:cs="Rubik"/>
          <w:color w:val="333333"/>
          <w:shd w:val="clear" w:color="auto" w:fill="FFFFFF"/>
        </w:rPr>
        <w:t>, aggiunge:</w:t>
      </w:r>
      <w:r w:rsidRPr="00683559">
        <w:rPr>
          <w:rFonts w:ascii="Rubik" w:hAnsi="Rubik" w:cs="Rubik" w:hint="cs"/>
          <w:color w:val="333333"/>
          <w:shd w:val="clear" w:color="auto" w:fill="FFFFFF"/>
        </w:rPr>
        <w:t xml:space="preserve"> </w:t>
      </w:r>
      <w:r w:rsidRPr="00683559">
        <w:rPr>
          <w:rFonts w:ascii="Rubik" w:hAnsi="Rubik" w:cs="Rubik" w:hint="cs"/>
          <w:i/>
          <w:iCs/>
          <w:color w:val="333333"/>
          <w:shd w:val="clear" w:color="auto" w:fill="FFFFFF"/>
        </w:rPr>
        <w:t>“</w:t>
      </w:r>
      <w:r>
        <w:rPr>
          <w:rFonts w:ascii="Rubik" w:hAnsi="Rubik" w:cs="Rubik"/>
          <w:i/>
          <w:iCs/>
          <w:color w:val="333333"/>
          <w:shd w:val="clear" w:color="auto" w:fill="FFFFFF"/>
        </w:rPr>
        <w:t>L</w:t>
      </w:r>
      <w:r w:rsidRPr="00683559">
        <w:rPr>
          <w:rFonts w:ascii="Rubik" w:hAnsi="Rubik" w:cs="Rubik" w:hint="cs"/>
          <w:i/>
          <w:iCs/>
          <w:color w:val="333333"/>
          <w:shd w:val="clear" w:color="auto" w:fill="FFFFFF"/>
        </w:rPr>
        <w:t>e scelte operate quest’anno nell’elaborazione del bilancio previsionale sono state caratterizzate dalla volontà di mantenere il passo di sviluppo dell’ateneo, preservando la solidità economica e patrimoniale, condizione necessaria per garantire la qualità che fino ad oggi l’ateneo ha potuto offrire in tutte le sue attività</w:t>
      </w:r>
      <w:r>
        <w:rPr>
          <w:rFonts w:ascii="Rubik" w:hAnsi="Rubik" w:cs="Rubik"/>
          <w:i/>
          <w:iCs/>
          <w:color w:val="333333"/>
          <w:shd w:val="clear" w:color="auto" w:fill="FFFFFF"/>
        </w:rPr>
        <w:t>”</w:t>
      </w:r>
      <w:r w:rsidRPr="00683559">
        <w:rPr>
          <w:rFonts w:ascii="Rubik" w:hAnsi="Rubik" w:cs="Rubik" w:hint="cs"/>
          <w:i/>
          <w:iCs/>
          <w:color w:val="333333"/>
          <w:shd w:val="clear" w:color="auto" w:fill="FFFFFF"/>
        </w:rPr>
        <w:t>.</w:t>
      </w:r>
    </w:p>
    <w:p w14:paraId="577F07C7" w14:textId="77777777" w:rsidR="005C02E0" w:rsidRDefault="005C02E0" w:rsidP="00273F17">
      <w:pPr>
        <w:jc w:val="both"/>
        <w:rPr>
          <w:rFonts w:ascii="Rubik" w:hAnsi="Rubik" w:cs="Rubik"/>
          <w:color w:val="333333"/>
          <w:shd w:val="clear" w:color="auto" w:fill="FFFFFF"/>
        </w:rPr>
      </w:pPr>
    </w:p>
    <w:p w14:paraId="0221AF1D" w14:textId="5946C4DE" w:rsidR="005C02E0" w:rsidRPr="005C02E0" w:rsidRDefault="005C02E0" w:rsidP="00273F17">
      <w:pPr>
        <w:jc w:val="both"/>
        <w:rPr>
          <w:rFonts w:ascii="Rubik" w:hAnsi="Rubik" w:cs="Rubik"/>
          <w:i/>
          <w:color w:val="222222"/>
        </w:rPr>
      </w:pPr>
      <w:r w:rsidRPr="00273F17">
        <w:rPr>
          <w:rFonts w:ascii="Rubik" w:hAnsi="Rubik" w:cs="Rubik" w:hint="cs"/>
          <w:color w:val="222222"/>
        </w:rPr>
        <w:t>“</w:t>
      </w:r>
      <w:r w:rsidRPr="00273F17">
        <w:rPr>
          <w:rFonts w:ascii="Rubik" w:hAnsi="Rubik" w:cs="Rubik" w:hint="cs"/>
          <w:i/>
          <w:color w:val="222222"/>
        </w:rPr>
        <w:t>L’obiettivo</w:t>
      </w:r>
      <w:r>
        <w:rPr>
          <w:rFonts w:ascii="Rubik" w:hAnsi="Rubik" w:cs="Rubik"/>
          <w:i/>
          <w:color w:val="222222"/>
        </w:rPr>
        <w:t xml:space="preserve"> delle azioni messe in campo – </w:t>
      </w:r>
      <w:r w:rsidR="00683559">
        <w:rPr>
          <w:rFonts w:ascii="Rubik" w:hAnsi="Rubik" w:cs="Rubik"/>
          <w:iCs/>
          <w:color w:val="222222"/>
        </w:rPr>
        <w:t>conclude</w:t>
      </w:r>
      <w:r w:rsidRPr="00061C2B">
        <w:rPr>
          <w:rFonts w:ascii="Rubik" w:hAnsi="Rubik" w:cs="Rubik"/>
          <w:iCs/>
          <w:color w:val="222222"/>
        </w:rPr>
        <w:t xml:space="preserve"> il Rettore </w:t>
      </w:r>
      <w:r w:rsidRPr="00061C2B">
        <w:rPr>
          <w:rFonts w:ascii="Rubik" w:hAnsi="Rubik" w:cs="Rubik"/>
          <w:b/>
          <w:bCs/>
          <w:iCs/>
          <w:color w:val="222222"/>
        </w:rPr>
        <w:t>Sergio Cavalieri</w:t>
      </w:r>
      <w:r>
        <w:rPr>
          <w:rFonts w:ascii="Rubik" w:hAnsi="Rubik" w:cs="Rubik"/>
          <w:i/>
          <w:color w:val="222222"/>
        </w:rPr>
        <w:t xml:space="preserve"> –</w:t>
      </w:r>
      <w:r w:rsidRPr="00273F17">
        <w:rPr>
          <w:rFonts w:ascii="Rubik" w:hAnsi="Rubik" w:cs="Rubik" w:hint="cs"/>
          <w:i/>
          <w:color w:val="222222"/>
        </w:rPr>
        <w:t xml:space="preserve"> è quello di creare un Ateneo attrattivo e sostenibile </w:t>
      </w:r>
      <w:r w:rsidR="00D2517F">
        <w:rPr>
          <w:rFonts w:ascii="Rubik" w:hAnsi="Rubik" w:cs="Rubik"/>
          <w:i/>
          <w:color w:val="222222"/>
        </w:rPr>
        <w:t>potenziando ulteriormente le risorse per la ricerca e la terza missione</w:t>
      </w:r>
      <w:r w:rsidRPr="00273F17">
        <w:rPr>
          <w:rFonts w:ascii="Rubik" w:hAnsi="Rubik" w:cs="Rubik" w:hint="cs"/>
          <w:i/>
          <w:color w:val="222222"/>
        </w:rPr>
        <w:t xml:space="preserve"> </w:t>
      </w:r>
      <w:r w:rsidR="00D2517F">
        <w:rPr>
          <w:rFonts w:ascii="Rubik" w:hAnsi="Rubik" w:cs="Rubik"/>
          <w:i/>
          <w:color w:val="222222"/>
        </w:rPr>
        <w:t xml:space="preserve">e attraverso </w:t>
      </w:r>
      <w:r w:rsidRPr="00273F17">
        <w:rPr>
          <w:rFonts w:ascii="Rubik" w:hAnsi="Rubik" w:cs="Rubik" w:hint="cs"/>
          <w:i/>
          <w:color w:val="222222"/>
        </w:rPr>
        <w:t xml:space="preserve">la realizzazione di strutture efficienti </w:t>
      </w:r>
      <w:r w:rsidR="00D2517F">
        <w:rPr>
          <w:rFonts w:ascii="Rubik" w:hAnsi="Rubik" w:cs="Rubik"/>
          <w:i/>
          <w:color w:val="222222"/>
        </w:rPr>
        <w:t xml:space="preserve"> e </w:t>
      </w:r>
      <w:r w:rsidRPr="00273F17">
        <w:rPr>
          <w:rFonts w:ascii="Rubik" w:hAnsi="Rubik" w:cs="Rubik" w:hint="cs"/>
          <w:i/>
          <w:color w:val="222222"/>
        </w:rPr>
        <w:t xml:space="preserve"> accoglienti; gli investimenti infrastrutturali mirano a migliorare non solo</w:t>
      </w:r>
      <w:r>
        <w:rPr>
          <w:rFonts w:ascii="Rubik" w:hAnsi="Rubik" w:cs="Rubik"/>
          <w:i/>
          <w:color w:val="222222"/>
        </w:rPr>
        <w:t xml:space="preserve"> </w:t>
      </w:r>
      <w:r w:rsidRPr="00273F17">
        <w:rPr>
          <w:rFonts w:ascii="Rubik" w:hAnsi="Rubik" w:cs="Rubik" w:hint="cs"/>
          <w:i/>
          <w:color w:val="222222"/>
        </w:rPr>
        <w:t>le strutture, ma anche la qualità dell’esperienza universitaria, con spazi adeguati alle nuove</w:t>
      </w:r>
      <w:r>
        <w:rPr>
          <w:rFonts w:ascii="Rubik" w:hAnsi="Rubik" w:cs="Rubik"/>
          <w:i/>
          <w:color w:val="222222"/>
        </w:rPr>
        <w:t xml:space="preserve"> </w:t>
      </w:r>
      <w:r w:rsidRPr="00273F17">
        <w:rPr>
          <w:rFonts w:ascii="Rubik" w:hAnsi="Rubik" w:cs="Rubik" w:hint="cs"/>
          <w:i/>
          <w:color w:val="222222"/>
        </w:rPr>
        <w:t>esigenze della didattica e della ricerca rendendo Bergamo un modello di eccellenza, attrattivo e competitivo a livello nazionale e internazionale”.</w:t>
      </w:r>
    </w:p>
    <w:sectPr w:rsidR="005C02E0" w:rsidRPr="005C02E0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6F86" w14:textId="77777777" w:rsidR="00301B57" w:rsidRDefault="00301B57">
      <w:r>
        <w:separator/>
      </w:r>
    </w:p>
  </w:endnote>
  <w:endnote w:type="continuationSeparator" w:id="0">
    <w:p w14:paraId="09B9F148" w14:textId="77777777" w:rsidR="00301B57" w:rsidRDefault="0030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550A" w14:textId="77777777" w:rsidR="00301B57" w:rsidRDefault="00301B57">
      <w:r>
        <w:separator/>
      </w:r>
    </w:p>
  </w:footnote>
  <w:footnote w:type="continuationSeparator" w:id="0">
    <w:p w14:paraId="096A39BD" w14:textId="77777777" w:rsidR="00301B57" w:rsidRDefault="0030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1B5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301B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1B5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140651">
    <w:abstractNumId w:val="7"/>
  </w:num>
  <w:num w:numId="2" w16cid:durableId="1437208909">
    <w:abstractNumId w:val="5"/>
  </w:num>
  <w:num w:numId="3" w16cid:durableId="287787509">
    <w:abstractNumId w:val="8"/>
  </w:num>
  <w:num w:numId="4" w16cid:durableId="1580292235">
    <w:abstractNumId w:val="0"/>
  </w:num>
  <w:num w:numId="5" w16cid:durableId="399327880">
    <w:abstractNumId w:val="12"/>
  </w:num>
  <w:num w:numId="6" w16cid:durableId="941567373">
    <w:abstractNumId w:val="9"/>
  </w:num>
  <w:num w:numId="7" w16cid:durableId="706489091">
    <w:abstractNumId w:val="11"/>
  </w:num>
  <w:num w:numId="8" w16cid:durableId="1524050103">
    <w:abstractNumId w:val="2"/>
  </w:num>
  <w:num w:numId="9" w16cid:durableId="100760266">
    <w:abstractNumId w:val="15"/>
  </w:num>
  <w:num w:numId="10" w16cid:durableId="597296074">
    <w:abstractNumId w:val="16"/>
  </w:num>
  <w:num w:numId="11" w16cid:durableId="2134010578">
    <w:abstractNumId w:val="13"/>
  </w:num>
  <w:num w:numId="12" w16cid:durableId="22854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04021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481332">
    <w:abstractNumId w:val="14"/>
  </w:num>
  <w:num w:numId="15" w16cid:durableId="1202550797">
    <w:abstractNumId w:val="17"/>
  </w:num>
  <w:num w:numId="16" w16cid:durableId="1271013601">
    <w:abstractNumId w:val="6"/>
  </w:num>
  <w:num w:numId="17" w16cid:durableId="876551710">
    <w:abstractNumId w:val="1"/>
  </w:num>
  <w:num w:numId="18" w16cid:durableId="2113740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60A6D"/>
    <w:rsid w:val="00061C2B"/>
    <w:rsid w:val="00094222"/>
    <w:rsid w:val="00095626"/>
    <w:rsid w:val="000975ED"/>
    <w:rsid w:val="000A5632"/>
    <w:rsid w:val="000C261F"/>
    <w:rsid w:val="000D12C0"/>
    <w:rsid w:val="000D4AC0"/>
    <w:rsid w:val="000D6C04"/>
    <w:rsid w:val="000E00BD"/>
    <w:rsid w:val="000E2907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E33"/>
    <w:rsid w:val="001D666A"/>
    <w:rsid w:val="001D6C55"/>
    <w:rsid w:val="001D70D0"/>
    <w:rsid w:val="001F0D20"/>
    <w:rsid w:val="001F6311"/>
    <w:rsid w:val="00207010"/>
    <w:rsid w:val="00210AE4"/>
    <w:rsid w:val="002266D1"/>
    <w:rsid w:val="00245167"/>
    <w:rsid w:val="0025485F"/>
    <w:rsid w:val="00256742"/>
    <w:rsid w:val="00261058"/>
    <w:rsid w:val="002640B0"/>
    <w:rsid w:val="00267ABD"/>
    <w:rsid w:val="00271BE8"/>
    <w:rsid w:val="00273F17"/>
    <w:rsid w:val="0027512F"/>
    <w:rsid w:val="002805DB"/>
    <w:rsid w:val="00284CA6"/>
    <w:rsid w:val="00293ECF"/>
    <w:rsid w:val="002A7937"/>
    <w:rsid w:val="002D0697"/>
    <w:rsid w:val="002E3E77"/>
    <w:rsid w:val="002E4361"/>
    <w:rsid w:val="002E4DA9"/>
    <w:rsid w:val="002F1308"/>
    <w:rsid w:val="002F2E08"/>
    <w:rsid w:val="002F2EFF"/>
    <w:rsid w:val="00301B57"/>
    <w:rsid w:val="00303BC2"/>
    <w:rsid w:val="00317B14"/>
    <w:rsid w:val="003243D6"/>
    <w:rsid w:val="003279AB"/>
    <w:rsid w:val="00334242"/>
    <w:rsid w:val="003444E4"/>
    <w:rsid w:val="00350D91"/>
    <w:rsid w:val="003605F2"/>
    <w:rsid w:val="003822A4"/>
    <w:rsid w:val="00393E25"/>
    <w:rsid w:val="00397809"/>
    <w:rsid w:val="003A19A4"/>
    <w:rsid w:val="003C7E36"/>
    <w:rsid w:val="003D608C"/>
    <w:rsid w:val="003F10BC"/>
    <w:rsid w:val="003F4AC0"/>
    <w:rsid w:val="00404C79"/>
    <w:rsid w:val="00412268"/>
    <w:rsid w:val="00414613"/>
    <w:rsid w:val="0042398A"/>
    <w:rsid w:val="00424D5F"/>
    <w:rsid w:val="00426E6A"/>
    <w:rsid w:val="00447474"/>
    <w:rsid w:val="004772CE"/>
    <w:rsid w:val="00485F68"/>
    <w:rsid w:val="00491F41"/>
    <w:rsid w:val="00493921"/>
    <w:rsid w:val="004A1443"/>
    <w:rsid w:val="004A5C2E"/>
    <w:rsid w:val="004B3326"/>
    <w:rsid w:val="004C10B9"/>
    <w:rsid w:val="004C2EAE"/>
    <w:rsid w:val="004C3806"/>
    <w:rsid w:val="004C7DBE"/>
    <w:rsid w:val="004D4D81"/>
    <w:rsid w:val="004E1E80"/>
    <w:rsid w:val="004E7E4D"/>
    <w:rsid w:val="004F1235"/>
    <w:rsid w:val="004F485D"/>
    <w:rsid w:val="00503A2E"/>
    <w:rsid w:val="00505C85"/>
    <w:rsid w:val="0051455E"/>
    <w:rsid w:val="0052167C"/>
    <w:rsid w:val="0052417B"/>
    <w:rsid w:val="005442B8"/>
    <w:rsid w:val="00545251"/>
    <w:rsid w:val="00575179"/>
    <w:rsid w:val="005762C2"/>
    <w:rsid w:val="0058734C"/>
    <w:rsid w:val="005926A2"/>
    <w:rsid w:val="005A0AD6"/>
    <w:rsid w:val="005B109E"/>
    <w:rsid w:val="005B42D2"/>
    <w:rsid w:val="005C02E0"/>
    <w:rsid w:val="005E08BF"/>
    <w:rsid w:val="005E1D5B"/>
    <w:rsid w:val="005F0829"/>
    <w:rsid w:val="006048D4"/>
    <w:rsid w:val="00632171"/>
    <w:rsid w:val="006403B2"/>
    <w:rsid w:val="00643C3F"/>
    <w:rsid w:val="00652E6E"/>
    <w:rsid w:val="006570EE"/>
    <w:rsid w:val="00683559"/>
    <w:rsid w:val="006A5228"/>
    <w:rsid w:val="006C1C00"/>
    <w:rsid w:val="006C372E"/>
    <w:rsid w:val="006C58F4"/>
    <w:rsid w:val="006C6905"/>
    <w:rsid w:val="006E4C37"/>
    <w:rsid w:val="006F4795"/>
    <w:rsid w:val="006F4D9F"/>
    <w:rsid w:val="006F6923"/>
    <w:rsid w:val="00703F46"/>
    <w:rsid w:val="007135A3"/>
    <w:rsid w:val="007247DB"/>
    <w:rsid w:val="00726E06"/>
    <w:rsid w:val="00734E3E"/>
    <w:rsid w:val="0073504E"/>
    <w:rsid w:val="00737D94"/>
    <w:rsid w:val="00747A5C"/>
    <w:rsid w:val="007542A1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14C96"/>
    <w:rsid w:val="00820185"/>
    <w:rsid w:val="008231F1"/>
    <w:rsid w:val="00833F4A"/>
    <w:rsid w:val="008540E7"/>
    <w:rsid w:val="00857C7B"/>
    <w:rsid w:val="008953A3"/>
    <w:rsid w:val="008964D8"/>
    <w:rsid w:val="008C2DE6"/>
    <w:rsid w:val="008D4802"/>
    <w:rsid w:val="008E76CB"/>
    <w:rsid w:val="008F443F"/>
    <w:rsid w:val="009115F4"/>
    <w:rsid w:val="00923C67"/>
    <w:rsid w:val="00934173"/>
    <w:rsid w:val="00943013"/>
    <w:rsid w:val="00945112"/>
    <w:rsid w:val="00947A6A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5BC3"/>
    <w:rsid w:val="00A025A6"/>
    <w:rsid w:val="00A04FB3"/>
    <w:rsid w:val="00A15D86"/>
    <w:rsid w:val="00A23A14"/>
    <w:rsid w:val="00A61283"/>
    <w:rsid w:val="00A61B75"/>
    <w:rsid w:val="00A62098"/>
    <w:rsid w:val="00A73B8E"/>
    <w:rsid w:val="00A756C9"/>
    <w:rsid w:val="00A76F51"/>
    <w:rsid w:val="00A7713C"/>
    <w:rsid w:val="00A95869"/>
    <w:rsid w:val="00AA1DBF"/>
    <w:rsid w:val="00AB35C4"/>
    <w:rsid w:val="00AC4C9E"/>
    <w:rsid w:val="00AE4AC8"/>
    <w:rsid w:val="00AE7772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8103A"/>
    <w:rsid w:val="00B82C81"/>
    <w:rsid w:val="00B845B2"/>
    <w:rsid w:val="00B908CD"/>
    <w:rsid w:val="00B95EEE"/>
    <w:rsid w:val="00BA02CF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740AF"/>
    <w:rsid w:val="00C9095A"/>
    <w:rsid w:val="00CA257E"/>
    <w:rsid w:val="00CC4769"/>
    <w:rsid w:val="00CE1FB9"/>
    <w:rsid w:val="00D0195F"/>
    <w:rsid w:val="00D126B7"/>
    <w:rsid w:val="00D249F2"/>
    <w:rsid w:val="00D2517F"/>
    <w:rsid w:val="00D269AB"/>
    <w:rsid w:val="00D34401"/>
    <w:rsid w:val="00D36B0E"/>
    <w:rsid w:val="00D75739"/>
    <w:rsid w:val="00D94562"/>
    <w:rsid w:val="00DA2017"/>
    <w:rsid w:val="00DC588B"/>
    <w:rsid w:val="00DC5AD5"/>
    <w:rsid w:val="00DC6FC9"/>
    <w:rsid w:val="00DD5E04"/>
    <w:rsid w:val="00DE22A4"/>
    <w:rsid w:val="00DE52A8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D5A05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5E43"/>
    <w:rsid w:val="00F9680F"/>
    <w:rsid w:val="00FA38B4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ateneo/organizzazione/organi-e-organismi/prorettorati-e-delegh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491853-37E9-473A-9629-30FFB778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10</cp:revision>
  <dcterms:created xsi:type="dcterms:W3CDTF">2024-12-17T14:29:00Z</dcterms:created>
  <dcterms:modified xsi:type="dcterms:W3CDTF">2024-12-17T15:03:00Z</dcterms:modified>
</cp:coreProperties>
</file>