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9168" w14:textId="6AB3E7AC" w:rsidR="00A23A14" w:rsidRPr="00F92917" w:rsidRDefault="00BA4A70" w:rsidP="00DF33A7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F92917">
        <w:rPr>
          <w:rFonts w:ascii="Rubik" w:eastAsia="Rubik" w:hAnsi="Rubik" w:cs="Rubik"/>
          <w:sz w:val="22"/>
          <w:szCs w:val="22"/>
          <w:u w:val="single"/>
        </w:rPr>
        <w:t>COMUNICATO STAMP</w:t>
      </w:r>
      <w:r w:rsidR="00947A6A" w:rsidRPr="00F92917">
        <w:rPr>
          <w:rFonts w:ascii="Rubik" w:eastAsia="Rubik" w:hAnsi="Rubik" w:cs="Rubik" w:hint="cs"/>
          <w:sz w:val="22"/>
          <w:szCs w:val="22"/>
          <w:u w:val="single"/>
        </w:rPr>
        <w:t>A</w:t>
      </w:r>
    </w:p>
    <w:p w14:paraId="2D2C5C59" w14:textId="77777777" w:rsidR="00A9550F" w:rsidRDefault="00A9550F" w:rsidP="00A9550F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7140310F" w14:textId="77777777" w:rsidR="00F16CAF" w:rsidRDefault="00F16CAF" w:rsidP="00F16CAF">
      <w:pPr>
        <w:pStyle w:val="NormaleWeb"/>
        <w:spacing w:before="0" w:beforeAutospacing="0" w:after="0" w:afterAutospacing="0"/>
        <w:jc w:val="center"/>
        <w:rPr>
          <w:rFonts w:ascii="Rubik" w:hAnsi="Rubik" w:cs="Rubik"/>
          <w:b/>
          <w:bCs/>
          <w:sz w:val="24"/>
          <w:szCs w:val="24"/>
        </w:rPr>
      </w:pPr>
      <w:r w:rsidRPr="00F16CAF">
        <w:rPr>
          <w:rFonts w:ascii="Rubik" w:hAnsi="Rubik" w:cs="Rubik"/>
          <w:b/>
          <w:bCs/>
          <w:sz w:val="24"/>
          <w:szCs w:val="24"/>
        </w:rPr>
        <w:t xml:space="preserve">L'UNIVERSITÀ DI BERGAMO TRA LE PRIME </w:t>
      </w:r>
      <w:r>
        <w:rPr>
          <w:rFonts w:ascii="Rubik" w:hAnsi="Rubik" w:cs="Rubik"/>
          <w:b/>
          <w:bCs/>
          <w:sz w:val="24"/>
          <w:szCs w:val="24"/>
        </w:rPr>
        <w:t>IN ITALIA</w:t>
      </w:r>
    </w:p>
    <w:p w14:paraId="77261603" w14:textId="77777777" w:rsidR="00F16CAF" w:rsidRDefault="00F16CAF" w:rsidP="00F16CAF">
      <w:pPr>
        <w:pStyle w:val="NormaleWeb"/>
        <w:spacing w:before="0" w:beforeAutospacing="0" w:after="0" w:afterAutospacing="0"/>
        <w:jc w:val="center"/>
        <w:rPr>
          <w:rFonts w:ascii="Rubik" w:hAnsi="Rubik" w:cs="Rubik"/>
          <w:b/>
          <w:bCs/>
          <w:sz w:val="24"/>
          <w:szCs w:val="24"/>
        </w:rPr>
      </w:pPr>
      <w:r w:rsidRPr="00F16CAF">
        <w:rPr>
          <w:rFonts w:ascii="Rubik" w:hAnsi="Rubik" w:cs="Rubik"/>
          <w:b/>
          <w:bCs/>
          <w:sz w:val="24"/>
          <w:szCs w:val="24"/>
        </w:rPr>
        <w:t>PER CAPACITÀ DI ASSUNZIONE</w:t>
      </w:r>
      <w:r>
        <w:rPr>
          <w:rFonts w:ascii="Rubik" w:hAnsi="Rubik" w:cs="Rubik"/>
          <w:b/>
          <w:bCs/>
          <w:sz w:val="24"/>
          <w:szCs w:val="24"/>
        </w:rPr>
        <w:t xml:space="preserve">: </w:t>
      </w:r>
      <w:r w:rsidRPr="00F16CAF">
        <w:rPr>
          <w:rFonts w:ascii="Rubik" w:hAnsi="Rubik" w:cs="Rubik"/>
          <w:b/>
          <w:bCs/>
          <w:sz w:val="24"/>
          <w:szCs w:val="24"/>
        </w:rPr>
        <w:t>TURNOVER AL 168%</w:t>
      </w:r>
      <w:r>
        <w:rPr>
          <w:rFonts w:ascii="Rubik" w:hAnsi="Rubik" w:cs="Rubik"/>
          <w:b/>
          <w:bCs/>
          <w:sz w:val="24"/>
          <w:szCs w:val="24"/>
        </w:rPr>
        <w:t xml:space="preserve"> </w:t>
      </w:r>
      <w:r w:rsidRPr="00F16CAF">
        <w:rPr>
          <w:rFonts w:ascii="Rubik" w:hAnsi="Rubik" w:cs="Rubik"/>
          <w:b/>
          <w:bCs/>
          <w:sz w:val="24"/>
          <w:szCs w:val="24"/>
        </w:rPr>
        <w:t>GRAZIE A</w:t>
      </w:r>
    </w:p>
    <w:p w14:paraId="04CFB293" w14:textId="2F6CAC98" w:rsidR="00415278" w:rsidRPr="00F16CAF" w:rsidRDefault="00F16CAF" w:rsidP="00F16CAF">
      <w:pPr>
        <w:pStyle w:val="NormaleWeb"/>
        <w:spacing w:before="0" w:beforeAutospacing="0" w:after="0" w:afterAutospacing="0"/>
        <w:jc w:val="center"/>
        <w:rPr>
          <w:rFonts w:ascii="Rubik" w:hAnsi="Rubik" w:cs="Rubik"/>
          <w:b/>
          <w:bCs/>
          <w:sz w:val="24"/>
          <w:szCs w:val="24"/>
        </w:rPr>
      </w:pPr>
      <w:r w:rsidRPr="00F16CAF">
        <w:rPr>
          <w:rFonts w:ascii="Rubik" w:hAnsi="Rubik" w:cs="Rubik"/>
          <w:b/>
          <w:bCs/>
          <w:sz w:val="24"/>
          <w:szCs w:val="24"/>
        </w:rPr>
        <w:t>UNA SOLIDA SOSTENIBILITÀ FINANZIARIA</w:t>
      </w:r>
    </w:p>
    <w:p w14:paraId="4FA15DAB" w14:textId="77777777" w:rsidR="00F16CAF" w:rsidRDefault="00F16CAF" w:rsidP="00415278">
      <w:pPr>
        <w:pStyle w:val="NormaleWeb"/>
        <w:spacing w:before="0" w:beforeAutospacing="0" w:after="0" w:afterAutospacing="0"/>
        <w:jc w:val="both"/>
        <w:rPr>
          <w:rFonts w:ascii="Rubik" w:hAnsi="Rubik" w:cs="Rubik"/>
          <w:i/>
          <w:iCs/>
          <w:sz w:val="24"/>
          <w:szCs w:val="24"/>
        </w:rPr>
      </w:pPr>
    </w:p>
    <w:p w14:paraId="38421856" w14:textId="408B8DF9" w:rsidR="00CC0FA2" w:rsidRDefault="004772CE" w:rsidP="00CC0FA2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CC0FA2">
        <w:rPr>
          <w:rFonts w:ascii="Rubik" w:hAnsi="Rubik" w:cs="Rubik" w:hint="cs"/>
          <w:i/>
          <w:iCs/>
          <w:sz w:val="22"/>
          <w:szCs w:val="22"/>
        </w:rPr>
        <w:t>Bergamo,</w:t>
      </w:r>
      <w:r w:rsidR="00BE4416" w:rsidRPr="00CC0FA2">
        <w:rPr>
          <w:rFonts w:ascii="Rubik" w:hAnsi="Rubik" w:cs="Rubik" w:hint="cs"/>
          <w:i/>
          <w:iCs/>
          <w:sz w:val="22"/>
          <w:szCs w:val="22"/>
        </w:rPr>
        <w:t xml:space="preserve"> 17 </w:t>
      </w:r>
      <w:r w:rsidR="00201407" w:rsidRPr="00CC0FA2">
        <w:rPr>
          <w:rFonts w:ascii="Rubik" w:hAnsi="Rubik" w:cs="Rubik" w:hint="cs"/>
          <w:i/>
          <w:iCs/>
          <w:sz w:val="22"/>
          <w:szCs w:val="22"/>
        </w:rPr>
        <w:t xml:space="preserve">febbraio </w:t>
      </w:r>
      <w:r w:rsidRPr="00CC0FA2">
        <w:rPr>
          <w:rFonts w:ascii="Rubik" w:hAnsi="Rubik" w:cs="Rubik" w:hint="cs"/>
          <w:i/>
          <w:iCs/>
          <w:sz w:val="22"/>
          <w:szCs w:val="22"/>
        </w:rPr>
        <w:t>202</w:t>
      </w:r>
      <w:r w:rsidR="00DF33A7" w:rsidRPr="00CC0FA2">
        <w:rPr>
          <w:rFonts w:ascii="Rubik" w:hAnsi="Rubik" w:cs="Rubik" w:hint="cs"/>
          <w:i/>
          <w:iCs/>
          <w:sz w:val="22"/>
          <w:szCs w:val="22"/>
        </w:rPr>
        <w:t>5</w:t>
      </w:r>
      <w:r w:rsidRPr="00CC0FA2">
        <w:rPr>
          <w:rFonts w:ascii="Rubik" w:hAnsi="Rubik" w:cs="Rubik" w:hint="cs"/>
          <w:sz w:val="22"/>
          <w:szCs w:val="22"/>
        </w:rPr>
        <w:t xml:space="preserve"> </w:t>
      </w:r>
      <w:r w:rsidR="00415278" w:rsidRPr="00CC0FA2">
        <w:rPr>
          <w:rFonts w:ascii="Rubik" w:hAnsi="Rubik" w:cs="Rubik" w:hint="cs"/>
          <w:sz w:val="22"/>
          <w:szCs w:val="22"/>
        </w:rPr>
        <w:t>–</w:t>
      </w:r>
      <w:r w:rsidR="00CC0FA2" w:rsidRPr="00CC0FA2">
        <w:rPr>
          <w:rFonts w:ascii="Rubik" w:hAnsi="Rubik" w:cs="Rubik" w:hint="cs"/>
          <w:sz w:val="22"/>
          <w:szCs w:val="22"/>
        </w:rPr>
        <w:t xml:space="preserve"> Con il D.M. 36 del 23 gennaio 2025 il Ministero ha reso noti i criteri per il riparto e l’attribuzione a ciascuna istituzione universitaria statale del contingente disponibile per </w:t>
      </w:r>
      <w:r w:rsidR="00CC0FA2" w:rsidRPr="00CC0FA2">
        <w:rPr>
          <w:rFonts w:ascii="Rubik" w:hAnsi="Rubik" w:cs="Rubik" w:hint="cs"/>
          <w:b/>
          <w:bCs/>
          <w:sz w:val="22"/>
          <w:szCs w:val="22"/>
        </w:rPr>
        <w:t>l’assunzione di personale a tempo indeterminato</w:t>
      </w:r>
      <w:r w:rsidR="00CC0FA2" w:rsidRPr="00CC0FA2">
        <w:rPr>
          <w:rFonts w:ascii="Rubik" w:hAnsi="Rubik" w:cs="Rubik" w:hint="cs"/>
          <w:sz w:val="22"/>
          <w:szCs w:val="22"/>
        </w:rPr>
        <w:t xml:space="preserve"> e di </w:t>
      </w:r>
      <w:r w:rsidR="00CC0FA2" w:rsidRPr="00CC0FA2">
        <w:rPr>
          <w:rFonts w:ascii="Rubik" w:hAnsi="Rubik" w:cs="Rubik" w:hint="cs"/>
          <w:b/>
          <w:bCs/>
          <w:sz w:val="22"/>
          <w:szCs w:val="22"/>
        </w:rPr>
        <w:t>ricercatori a tempo determinato</w:t>
      </w:r>
      <w:r w:rsidR="00CC0FA2" w:rsidRPr="00CC0FA2">
        <w:rPr>
          <w:rFonts w:ascii="Rubik" w:hAnsi="Rubik" w:cs="Rubik" w:hint="cs"/>
          <w:sz w:val="22"/>
          <w:szCs w:val="22"/>
        </w:rPr>
        <w:t xml:space="preserve"> per l’anno 2024.</w:t>
      </w:r>
    </w:p>
    <w:p w14:paraId="14F6C807" w14:textId="77777777" w:rsidR="00CC0FA2" w:rsidRPr="00CC0FA2" w:rsidRDefault="00CC0FA2" w:rsidP="00CC0FA2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5AAC7BAC" w14:textId="2CFE737C" w:rsidR="00CC0FA2" w:rsidRDefault="00CC0FA2" w:rsidP="00CC0FA2">
      <w:pPr>
        <w:jc w:val="both"/>
        <w:rPr>
          <w:rFonts w:ascii="Rubik" w:hAnsi="Rubik" w:cs="Rubik"/>
          <w:sz w:val="22"/>
          <w:szCs w:val="22"/>
        </w:rPr>
      </w:pPr>
      <w:r w:rsidRPr="00CC0FA2">
        <w:rPr>
          <w:rFonts w:ascii="Rubik" w:hAnsi="Rubik" w:cs="Rubik" w:hint="cs"/>
          <w:sz w:val="22"/>
          <w:szCs w:val="22"/>
        </w:rPr>
        <w:t xml:space="preserve">L’assegnazione è effettuata in base agli </w:t>
      </w:r>
      <w:r w:rsidRPr="00CC0FA2">
        <w:rPr>
          <w:rFonts w:ascii="Rubik" w:hAnsi="Rubik" w:cs="Rubik" w:hint="cs"/>
          <w:b/>
          <w:bCs/>
          <w:sz w:val="22"/>
          <w:szCs w:val="22"/>
        </w:rPr>
        <w:t>indicatori di sostenibilità economico-finanziaria</w:t>
      </w:r>
      <w:r w:rsidRPr="00CC0FA2">
        <w:rPr>
          <w:rFonts w:ascii="Rubik" w:hAnsi="Rubik" w:cs="Rubik" w:hint="cs"/>
          <w:sz w:val="22"/>
          <w:szCs w:val="22"/>
        </w:rPr>
        <w:t xml:space="preserve"> al </w:t>
      </w:r>
      <w:r w:rsidRPr="00CC0FA2">
        <w:rPr>
          <w:rFonts w:ascii="Rubik" w:hAnsi="Rubik" w:cs="Rubik" w:hint="cs"/>
          <w:b/>
          <w:bCs/>
          <w:sz w:val="22"/>
          <w:szCs w:val="22"/>
        </w:rPr>
        <w:t>31 dicembre 2023</w:t>
      </w:r>
      <w:r w:rsidRPr="00CC0FA2">
        <w:rPr>
          <w:rFonts w:ascii="Rubik" w:hAnsi="Rubik" w:cs="Rubik" w:hint="cs"/>
          <w:sz w:val="22"/>
          <w:szCs w:val="22"/>
        </w:rPr>
        <w:t>; per i non addetti ai lavori tali indicatori si riferiscono all’incidenza del costo di personale sul totale delle entrate riconducibili a Fondo di finanziamento ordinario, Fondo programmazione triennale e</w:t>
      </w:r>
      <w:r>
        <w:rPr>
          <w:rFonts w:ascii="Rubik" w:hAnsi="Rubik" w:cs="Rubik"/>
          <w:sz w:val="22"/>
          <w:szCs w:val="22"/>
        </w:rPr>
        <w:t>d</w:t>
      </w:r>
      <w:r w:rsidRPr="00CC0FA2">
        <w:rPr>
          <w:rFonts w:ascii="Rubik" w:hAnsi="Rubik" w:cs="Rubik" w:hint="cs"/>
          <w:sz w:val="22"/>
          <w:szCs w:val="22"/>
        </w:rPr>
        <w:t xml:space="preserve"> entrate contributive, la cui soglia di allarme è posta all’80%, e all’indice di sostenibilità economico finanziaria che tiene conto delle spese di personale e delle spese per indebitamento, che invece deve essere maggiore di 1.</w:t>
      </w:r>
    </w:p>
    <w:p w14:paraId="18E8564F" w14:textId="77777777" w:rsidR="00CC0FA2" w:rsidRPr="00CC0FA2" w:rsidRDefault="00CC0FA2" w:rsidP="00CC0FA2">
      <w:pPr>
        <w:jc w:val="both"/>
        <w:rPr>
          <w:rFonts w:ascii="Rubik" w:hAnsi="Rubik" w:cs="Rubik"/>
          <w:sz w:val="22"/>
          <w:szCs w:val="22"/>
        </w:rPr>
      </w:pPr>
    </w:p>
    <w:p w14:paraId="26116CEC" w14:textId="56AE202A" w:rsidR="00CC0FA2" w:rsidRDefault="00CC0FA2" w:rsidP="00CC0FA2">
      <w:pPr>
        <w:jc w:val="both"/>
        <w:rPr>
          <w:rFonts w:ascii="Rubik" w:hAnsi="Rubik" w:cs="Rubik"/>
          <w:sz w:val="22"/>
          <w:szCs w:val="22"/>
        </w:rPr>
      </w:pPr>
      <w:r w:rsidRPr="00CC0FA2">
        <w:rPr>
          <w:rFonts w:ascii="Rubik" w:hAnsi="Rubik" w:cs="Rubik" w:hint="cs"/>
          <w:sz w:val="22"/>
          <w:szCs w:val="22"/>
        </w:rPr>
        <w:t xml:space="preserve">Dalla </w:t>
      </w:r>
      <w:r w:rsidRPr="00251E12">
        <w:rPr>
          <w:rFonts w:ascii="Rubik" w:hAnsi="Rubik" w:cs="Rubik" w:hint="cs"/>
          <w:b/>
          <w:bCs/>
          <w:sz w:val="22"/>
          <w:szCs w:val="22"/>
        </w:rPr>
        <w:t>sostenibilità economico finanziaria</w:t>
      </w:r>
      <w:r w:rsidRPr="00CC0FA2">
        <w:rPr>
          <w:rFonts w:ascii="Rubik" w:hAnsi="Rubik" w:cs="Rubik" w:hint="cs"/>
          <w:sz w:val="22"/>
          <w:szCs w:val="22"/>
        </w:rPr>
        <w:t xml:space="preserve"> </w:t>
      </w:r>
      <w:r w:rsidRPr="00251E12">
        <w:rPr>
          <w:rFonts w:ascii="Rubik" w:hAnsi="Rubik" w:cs="Rubik" w:hint="cs"/>
          <w:sz w:val="22"/>
          <w:szCs w:val="22"/>
        </w:rPr>
        <w:t>dipende l’assegnazione premiale di facoltà assunzionali</w:t>
      </w:r>
      <w:r w:rsidRPr="00CC0FA2">
        <w:rPr>
          <w:rFonts w:ascii="Rubik" w:hAnsi="Rubik" w:cs="Rubik" w:hint="cs"/>
          <w:sz w:val="22"/>
          <w:szCs w:val="22"/>
        </w:rPr>
        <w:t xml:space="preserve"> oltre il turnover del 100% delle cessazioni dell’anno precedente previsto dalla norma.</w:t>
      </w:r>
    </w:p>
    <w:p w14:paraId="49328FB4" w14:textId="77777777" w:rsidR="00CC0FA2" w:rsidRPr="00CC0FA2" w:rsidRDefault="00CC0FA2" w:rsidP="00CC0FA2">
      <w:pPr>
        <w:jc w:val="both"/>
        <w:rPr>
          <w:rFonts w:ascii="Rubik" w:hAnsi="Rubik" w:cs="Rubik"/>
          <w:sz w:val="22"/>
          <w:szCs w:val="22"/>
        </w:rPr>
      </w:pPr>
    </w:p>
    <w:p w14:paraId="058C61BF" w14:textId="3C9399CD" w:rsidR="00CC0FA2" w:rsidRDefault="00CC0FA2" w:rsidP="00CC0FA2">
      <w:pPr>
        <w:jc w:val="both"/>
        <w:rPr>
          <w:rFonts w:ascii="Rubik" w:hAnsi="Rubik" w:cs="Rubik"/>
          <w:sz w:val="22"/>
          <w:szCs w:val="22"/>
        </w:rPr>
      </w:pPr>
      <w:r w:rsidRPr="00CC0FA2">
        <w:rPr>
          <w:rFonts w:ascii="Rubik" w:hAnsi="Rubik" w:cs="Rubik" w:hint="cs"/>
          <w:sz w:val="22"/>
          <w:szCs w:val="22"/>
        </w:rPr>
        <w:t>Tali indicatori, esposti nella tabella allegata al DM</w:t>
      </w:r>
      <w:r>
        <w:rPr>
          <w:rFonts w:ascii="Rubik" w:hAnsi="Rubik" w:cs="Rubik"/>
          <w:sz w:val="22"/>
          <w:szCs w:val="22"/>
        </w:rPr>
        <w:t>,</w:t>
      </w:r>
      <w:r w:rsidRPr="00CC0FA2">
        <w:rPr>
          <w:rFonts w:ascii="Rubik" w:hAnsi="Rubik" w:cs="Rubik" w:hint="cs"/>
          <w:sz w:val="22"/>
          <w:szCs w:val="22"/>
        </w:rPr>
        <w:t xml:space="preserve"> si attestano in linea con quelli degli anni precedenti; l’indicatore spese di personale è pari al 54,55% mentre l’ISEF si attesta a 1,45.  Questi risultati determina</w:t>
      </w:r>
      <w:r>
        <w:rPr>
          <w:rFonts w:ascii="Rubik" w:hAnsi="Rubik" w:cs="Rubik"/>
          <w:sz w:val="22"/>
          <w:szCs w:val="22"/>
        </w:rPr>
        <w:t>n</w:t>
      </w:r>
      <w:r w:rsidRPr="00CC0FA2">
        <w:rPr>
          <w:rFonts w:ascii="Rubik" w:hAnsi="Rubik" w:cs="Rubik" w:hint="cs"/>
          <w:sz w:val="22"/>
          <w:szCs w:val="22"/>
        </w:rPr>
        <w:t xml:space="preserve">o l’assegnazione all’ateneo orobico di </w:t>
      </w:r>
      <w:r w:rsidRPr="00CC0FA2">
        <w:rPr>
          <w:rFonts w:ascii="Rubik" w:hAnsi="Rubik" w:cs="Rubik" w:hint="cs"/>
          <w:b/>
          <w:bCs/>
          <w:sz w:val="22"/>
          <w:szCs w:val="22"/>
        </w:rPr>
        <w:t>17,51 punti organico</w:t>
      </w:r>
      <w:r w:rsidRPr="00CC0FA2">
        <w:rPr>
          <w:rFonts w:ascii="Rubik" w:hAnsi="Rubik" w:cs="Rubik" w:hint="cs"/>
          <w:sz w:val="22"/>
          <w:szCs w:val="22"/>
        </w:rPr>
        <w:t xml:space="preserve">, a fronte di cessazioni nell’anno 2023 pari a 10,40 punti. Il dato significativo è la </w:t>
      </w:r>
      <w:r w:rsidRPr="00CC0FA2">
        <w:rPr>
          <w:rFonts w:ascii="Rubik" w:hAnsi="Rubik" w:cs="Rubik" w:hint="cs"/>
          <w:b/>
          <w:bCs/>
          <w:sz w:val="22"/>
          <w:szCs w:val="22"/>
        </w:rPr>
        <w:t>percentuale di turnover garantita all’Ateneo</w:t>
      </w:r>
      <w:r w:rsidRPr="00CC0FA2">
        <w:rPr>
          <w:rFonts w:ascii="Rubik" w:hAnsi="Rubik" w:cs="Rubik" w:hint="cs"/>
          <w:sz w:val="22"/>
          <w:szCs w:val="22"/>
        </w:rPr>
        <w:t xml:space="preserve">: </w:t>
      </w:r>
      <w:r w:rsidRPr="00CC0FA2">
        <w:rPr>
          <w:rFonts w:ascii="Rubik" w:hAnsi="Rubik" w:cs="Rubik" w:hint="cs"/>
          <w:b/>
          <w:sz w:val="22"/>
          <w:szCs w:val="22"/>
        </w:rPr>
        <w:t>168%</w:t>
      </w:r>
      <w:r w:rsidRPr="00CC0FA2">
        <w:rPr>
          <w:rFonts w:ascii="Rubik" w:hAnsi="Rubik" w:cs="Rubik" w:hint="cs"/>
          <w:bCs/>
          <w:sz w:val="22"/>
          <w:szCs w:val="22"/>
        </w:rPr>
        <w:t>;</w:t>
      </w:r>
      <w:r w:rsidRPr="00CC0FA2">
        <w:rPr>
          <w:rFonts w:ascii="Rubik" w:hAnsi="Rubik" w:cs="Rubik" w:hint="cs"/>
          <w:b/>
          <w:sz w:val="22"/>
          <w:szCs w:val="22"/>
        </w:rPr>
        <w:t xml:space="preserve"> </w:t>
      </w:r>
      <w:r w:rsidRPr="00CC0FA2">
        <w:rPr>
          <w:rFonts w:ascii="Rubik" w:hAnsi="Rubik" w:cs="Rubik" w:hint="cs"/>
          <w:sz w:val="22"/>
          <w:szCs w:val="22"/>
        </w:rPr>
        <w:t>se escludiamo le scuole universitarie superiori e i politecnici, l’</w:t>
      </w:r>
      <w:r>
        <w:rPr>
          <w:rFonts w:ascii="Rubik" w:hAnsi="Rubik" w:cs="Rubik"/>
          <w:sz w:val="22"/>
          <w:szCs w:val="22"/>
        </w:rPr>
        <w:t>U</w:t>
      </w:r>
      <w:r w:rsidRPr="00CC0FA2">
        <w:rPr>
          <w:rFonts w:ascii="Rubik" w:hAnsi="Rubik" w:cs="Rubik" w:hint="cs"/>
          <w:sz w:val="22"/>
          <w:szCs w:val="22"/>
        </w:rPr>
        <w:t xml:space="preserve">niversità di Bergamo si attesta al </w:t>
      </w:r>
      <w:r w:rsidRPr="00CC0FA2">
        <w:rPr>
          <w:rFonts w:ascii="Rubik" w:hAnsi="Rubik" w:cs="Rubik" w:hint="cs"/>
          <w:b/>
          <w:bCs/>
          <w:sz w:val="22"/>
          <w:szCs w:val="22"/>
        </w:rPr>
        <w:t xml:space="preserve">quinto </w:t>
      </w:r>
      <w:r w:rsidRPr="00CC0FA2">
        <w:rPr>
          <w:rFonts w:ascii="Rubik" w:hAnsi="Rubik" w:cs="Rubik" w:hint="cs"/>
          <w:b/>
          <w:sz w:val="22"/>
          <w:szCs w:val="22"/>
        </w:rPr>
        <w:t>posto</w:t>
      </w:r>
      <w:r w:rsidRPr="00CC0FA2">
        <w:rPr>
          <w:rStyle w:val="Rimandocommento"/>
          <w:rFonts w:ascii="Rubik" w:hAnsi="Rubik" w:cs="Rubik" w:hint="cs"/>
          <w:sz w:val="22"/>
          <w:szCs w:val="22"/>
        </w:rPr>
        <w:t xml:space="preserve"> </w:t>
      </w:r>
      <w:r w:rsidRPr="00CC0FA2">
        <w:rPr>
          <w:rFonts w:ascii="Rubik" w:hAnsi="Rubik" w:cs="Rubik" w:hint="cs"/>
          <w:sz w:val="22"/>
          <w:szCs w:val="22"/>
        </w:rPr>
        <w:t xml:space="preserve">per la percentuale di turnover più elevata, e dimostra una </w:t>
      </w:r>
      <w:r w:rsidRPr="00CC0FA2">
        <w:rPr>
          <w:rFonts w:ascii="Rubik" w:hAnsi="Rubik" w:cs="Rubik" w:hint="cs"/>
          <w:b/>
          <w:bCs/>
          <w:sz w:val="22"/>
          <w:szCs w:val="22"/>
        </w:rPr>
        <w:t>capacità di assunzione e gestione del personale</w:t>
      </w:r>
      <w:r w:rsidRPr="00CC0FA2">
        <w:rPr>
          <w:rFonts w:ascii="Rubik" w:hAnsi="Rubik" w:cs="Rubik" w:hint="cs"/>
          <w:sz w:val="22"/>
          <w:szCs w:val="22"/>
        </w:rPr>
        <w:t xml:space="preserve"> ben superiore alla media di sistema. Lo scorso anno</w:t>
      </w:r>
      <w:r>
        <w:rPr>
          <w:rFonts w:ascii="Rubik" w:hAnsi="Rubik" w:cs="Rubik"/>
          <w:sz w:val="22"/>
          <w:szCs w:val="22"/>
        </w:rPr>
        <w:t>,</w:t>
      </w:r>
      <w:r w:rsidRPr="00CC0FA2">
        <w:rPr>
          <w:rFonts w:ascii="Rubik" w:hAnsi="Rubik" w:cs="Rubik" w:hint="cs"/>
          <w:sz w:val="22"/>
          <w:szCs w:val="22"/>
        </w:rPr>
        <w:t xml:space="preserve"> la percentuale di turnover è stata del 158%: a fronte di cessazioni nel 2022 pari a 13,55 punti organico, erano stati attribuiti 21,43 punti organico.</w:t>
      </w:r>
      <w:r w:rsidR="00B1174E">
        <w:rPr>
          <w:rFonts w:ascii="Rubik" w:hAnsi="Rubik" w:cs="Rubik"/>
          <w:sz w:val="22"/>
          <w:szCs w:val="22"/>
        </w:rPr>
        <w:t xml:space="preserve"> Inoltre, </w:t>
      </w:r>
      <w:r w:rsidR="00B1174E" w:rsidRPr="00B1174E">
        <w:rPr>
          <w:rFonts w:ascii="Rubik" w:hAnsi="Rubik" w:cs="Rubik"/>
          <w:b/>
          <w:bCs/>
          <w:sz w:val="22"/>
          <w:szCs w:val="22"/>
        </w:rPr>
        <w:t xml:space="preserve">l’età media del personale </w:t>
      </w:r>
      <w:r w:rsidR="002B3D85">
        <w:rPr>
          <w:rFonts w:ascii="Rubik" w:hAnsi="Rubik" w:cs="Rubik"/>
          <w:b/>
          <w:bCs/>
          <w:sz w:val="22"/>
          <w:szCs w:val="22"/>
        </w:rPr>
        <w:t xml:space="preserve">docente </w:t>
      </w:r>
      <w:r w:rsidR="00B1174E" w:rsidRPr="00B1174E">
        <w:rPr>
          <w:rFonts w:ascii="Rubik" w:hAnsi="Rubik" w:cs="Rubik"/>
          <w:b/>
          <w:bCs/>
          <w:sz w:val="22"/>
          <w:szCs w:val="22"/>
        </w:rPr>
        <w:t>di UniBg</w:t>
      </w:r>
      <w:r w:rsidR="00B1174E">
        <w:rPr>
          <w:rFonts w:ascii="Rubik" w:hAnsi="Rubik" w:cs="Rubik"/>
          <w:sz w:val="22"/>
          <w:szCs w:val="22"/>
        </w:rPr>
        <w:t xml:space="preserve"> è di </w:t>
      </w:r>
      <w:r w:rsidR="00B1174E" w:rsidRPr="00B1174E">
        <w:rPr>
          <w:rFonts w:ascii="Rubik" w:hAnsi="Rubik" w:cs="Rubik"/>
          <w:b/>
          <w:bCs/>
          <w:sz w:val="22"/>
          <w:szCs w:val="22"/>
        </w:rPr>
        <w:t>4</w:t>
      </w:r>
      <w:r w:rsidR="002B3D85">
        <w:rPr>
          <w:rFonts w:ascii="Rubik" w:hAnsi="Rubik" w:cs="Rubik"/>
          <w:b/>
          <w:bCs/>
          <w:sz w:val="22"/>
          <w:szCs w:val="22"/>
        </w:rPr>
        <w:t>8</w:t>
      </w:r>
      <w:r w:rsidR="00B1174E" w:rsidRPr="00B1174E">
        <w:rPr>
          <w:rFonts w:ascii="Rubik" w:hAnsi="Rubik" w:cs="Rubik"/>
          <w:b/>
          <w:bCs/>
          <w:sz w:val="22"/>
          <w:szCs w:val="22"/>
        </w:rPr>
        <w:t>,</w:t>
      </w:r>
      <w:r w:rsidR="002B3D85">
        <w:rPr>
          <w:rFonts w:ascii="Rubik" w:hAnsi="Rubik" w:cs="Rubik"/>
          <w:b/>
          <w:bCs/>
          <w:sz w:val="22"/>
          <w:szCs w:val="22"/>
        </w:rPr>
        <w:t>7</w:t>
      </w:r>
      <w:r w:rsidR="00B1174E" w:rsidRPr="00B1174E">
        <w:rPr>
          <w:rFonts w:ascii="Rubik" w:hAnsi="Rubik" w:cs="Rubik"/>
          <w:b/>
          <w:bCs/>
          <w:sz w:val="22"/>
          <w:szCs w:val="22"/>
        </w:rPr>
        <w:t xml:space="preserve"> anni</w:t>
      </w:r>
      <w:r w:rsidR="00B1174E">
        <w:rPr>
          <w:rFonts w:ascii="Rubik" w:hAnsi="Rubik" w:cs="Rubik"/>
          <w:sz w:val="22"/>
          <w:szCs w:val="22"/>
        </w:rPr>
        <w:t xml:space="preserve"> </w:t>
      </w:r>
      <w:r w:rsidR="002B3D85">
        <w:rPr>
          <w:rFonts w:ascii="Rubik" w:hAnsi="Rubik" w:cs="Rubik"/>
          <w:sz w:val="22"/>
          <w:szCs w:val="22"/>
        </w:rPr>
        <w:t xml:space="preserve">(a fronte di una media nazionale di 51 anni), </w:t>
      </w:r>
      <w:r w:rsidR="00B1174E">
        <w:rPr>
          <w:rFonts w:ascii="Rubik" w:hAnsi="Rubik" w:cs="Rubik"/>
          <w:sz w:val="22"/>
          <w:szCs w:val="22"/>
        </w:rPr>
        <w:t xml:space="preserve">condizione che rende i pensionamenti </w:t>
      </w:r>
      <w:r w:rsidR="002B3D85">
        <w:rPr>
          <w:rFonts w:ascii="Rubik" w:hAnsi="Rubik" w:cs="Rubik"/>
          <w:sz w:val="22"/>
          <w:szCs w:val="22"/>
        </w:rPr>
        <w:t>meno significativi rispetto agli altri atenei.</w:t>
      </w:r>
    </w:p>
    <w:p w14:paraId="618BBB6E" w14:textId="77777777" w:rsidR="00CC0FA2" w:rsidRPr="00CC0FA2" w:rsidRDefault="00CC0FA2" w:rsidP="00CC0FA2">
      <w:pPr>
        <w:jc w:val="both"/>
        <w:rPr>
          <w:rFonts w:ascii="Rubik" w:hAnsi="Rubik" w:cs="Rubik"/>
          <w:sz w:val="22"/>
          <w:szCs w:val="22"/>
        </w:rPr>
      </w:pPr>
    </w:p>
    <w:p w14:paraId="758E7EDA" w14:textId="4A3989B2" w:rsidR="00CC0FA2" w:rsidRPr="00CC0FA2" w:rsidRDefault="00CC0FA2" w:rsidP="00CC0FA2">
      <w:pPr>
        <w:jc w:val="both"/>
        <w:rPr>
          <w:rFonts w:ascii="Rubik" w:hAnsi="Rubik" w:cs="Rubik"/>
          <w:i/>
          <w:iCs/>
          <w:sz w:val="22"/>
          <w:szCs w:val="22"/>
        </w:rPr>
      </w:pPr>
      <w:r>
        <w:rPr>
          <w:rFonts w:ascii="Rubik" w:hAnsi="Rubik" w:cs="Rubik"/>
          <w:i/>
          <w:iCs/>
          <w:sz w:val="22"/>
          <w:szCs w:val="22"/>
        </w:rPr>
        <w:t>“</w:t>
      </w:r>
      <w:r w:rsidRPr="00CC0FA2">
        <w:rPr>
          <w:rFonts w:ascii="Rubik" w:hAnsi="Rubik" w:cs="Rubik" w:hint="cs"/>
          <w:i/>
          <w:iCs/>
          <w:sz w:val="22"/>
          <w:szCs w:val="22"/>
        </w:rPr>
        <w:t xml:space="preserve">Questi dati </w:t>
      </w:r>
      <w:r>
        <w:rPr>
          <w:rFonts w:ascii="Rubik" w:hAnsi="Rubik" w:cs="Rubik"/>
          <w:i/>
          <w:iCs/>
          <w:sz w:val="22"/>
          <w:szCs w:val="22"/>
        </w:rPr>
        <w:t xml:space="preserve">– </w:t>
      </w:r>
      <w:r w:rsidRPr="00CC0FA2">
        <w:rPr>
          <w:rFonts w:ascii="Rubik" w:hAnsi="Rubik" w:cs="Rubik"/>
          <w:sz w:val="22"/>
          <w:szCs w:val="22"/>
        </w:rPr>
        <w:t xml:space="preserve">spiega il Rettore prof. </w:t>
      </w:r>
      <w:r w:rsidRPr="00CC0FA2">
        <w:rPr>
          <w:rFonts w:ascii="Rubik" w:hAnsi="Rubik" w:cs="Rubik"/>
          <w:b/>
          <w:bCs/>
          <w:sz w:val="22"/>
          <w:szCs w:val="22"/>
        </w:rPr>
        <w:t>Sergio Cavalieri</w:t>
      </w:r>
      <w:r>
        <w:rPr>
          <w:rFonts w:ascii="Rubik" w:hAnsi="Rubik" w:cs="Rubik"/>
          <w:i/>
          <w:iCs/>
          <w:sz w:val="22"/>
          <w:szCs w:val="22"/>
        </w:rPr>
        <w:t xml:space="preserve"> – </w:t>
      </w:r>
      <w:r w:rsidRPr="00CC0FA2">
        <w:rPr>
          <w:rFonts w:ascii="Rubik" w:hAnsi="Rubik" w:cs="Rubik" w:hint="cs"/>
          <w:i/>
          <w:iCs/>
          <w:sz w:val="22"/>
          <w:szCs w:val="22"/>
        </w:rPr>
        <w:t xml:space="preserve">dimostrano come UniBg sia un </w:t>
      </w:r>
      <w:r w:rsidRPr="00CC0FA2">
        <w:rPr>
          <w:rFonts w:ascii="Rubik" w:hAnsi="Rubik" w:cs="Rubik" w:hint="cs"/>
          <w:b/>
          <w:bCs/>
          <w:i/>
          <w:iCs/>
          <w:sz w:val="22"/>
          <w:szCs w:val="22"/>
        </w:rPr>
        <w:t>ateneo giovane, dinamico, in forte crescita</w:t>
      </w:r>
      <w:r w:rsidRPr="00CC0FA2">
        <w:rPr>
          <w:rFonts w:ascii="Rubik" w:hAnsi="Rubik" w:cs="Rubik" w:hint="cs"/>
          <w:i/>
          <w:iCs/>
          <w:sz w:val="22"/>
          <w:szCs w:val="22"/>
        </w:rPr>
        <w:t xml:space="preserve">. Negli ultimi anni il numero del personale dipendente, considerando sia docenti che personale tecnico amministrativo, è aumentato molto ma nonostante questo gli indicatori lasciano intendere ancora un margine di crescita, </w:t>
      </w:r>
      <w:r w:rsidRPr="00CC0FA2">
        <w:rPr>
          <w:rFonts w:ascii="Rubik" w:hAnsi="Rubik" w:cs="Rubik" w:hint="cs"/>
          <w:b/>
          <w:bCs/>
          <w:i/>
          <w:iCs/>
          <w:sz w:val="22"/>
          <w:szCs w:val="22"/>
        </w:rPr>
        <w:t>una situazione finanziaria solida</w:t>
      </w:r>
      <w:r w:rsidRPr="00CC0FA2">
        <w:rPr>
          <w:rFonts w:ascii="Rubik" w:hAnsi="Rubik" w:cs="Rubik" w:hint="cs"/>
          <w:i/>
          <w:iCs/>
          <w:sz w:val="22"/>
          <w:szCs w:val="22"/>
        </w:rPr>
        <w:t xml:space="preserve"> e una </w:t>
      </w:r>
      <w:r w:rsidRPr="00CC0FA2">
        <w:rPr>
          <w:rFonts w:ascii="Rubik" w:hAnsi="Rubik" w:cs="Rubik" w:hint="cs"/>
          <w:b/>
          <w:bCs/>
          <w:i/>
          <w:iCs/>
          <w:sz w:val="22"/>
          <w:szCs w:val="22"/>
        </w:rPr>
        <w:t>gestione efficace delle risorse a disposizione</w:t>
      </w:r>
      <w:r w:rsidRPr="00CC0FA2">
        <w:rPr>
          <w:rFonts w:ascii="Rubik" w:hAnsi="Rubik" w:cs="Rubik" w:hint="cs"/>
          <w:i/>
          <w:iCs/>
          <w:sz w:val="22"/>
          <w:szCs w:val="22"/>
        </w:rPr>
        <w:t>.</w:t>
      </w:r>
      <w:r>
        <w:rPr>
          <w:rFonts w:ascii="Rubik" w:hAnsi="Rubik" w:cs="Rubik"/>
          <w:i/>
          <w:iCs/>
          <w:sz w:val="22"/>
          <w:szCs w:val="22"/>
        </w:rPr>
        <w:t xml:space="preserve"> </w:t>
      </w:r>
      <w:r w:rsidRPr="00CC0FA2">
        <w:rPr>
          <w:rFonts w:ascii="Rubik" w:hAnsi="Rubik" w:cs="Rubik" w:hint="cs"/>
          <w:i/>
          <w:iCs/>
          <w:sz w:val="22"/>
          <w:szCs w:val="22"/>
        </w:rPr>
        <w:t xml:space="preserve">Questi risultati riflettono l’attenzione dell’ateneo rispetto all’equilibrio tra capacità di assunzione </w:t>
      </w:r>
      <w:r w:rsidR="005E2EE7">
        <w:rPr>
          <w:rFonts w:ascii="Rubik" w:hAnsi="Rubik" w:cs="Rubik"/>
          <w:i/>
          <w:iCs/>
          <w:sz w:val="22"/>
          <w:szCs w:val="22"/>
        </w:rPr>
        <w:t>e rispetto dei valori</w:t>
      </w:r>
      <w:r w:rsidRPr="00CC0FA2">
        <w:rPr>
          <w:rFonts w:ascii="Rubik" w:hAnsi="Rubik" w:cs="Rubik" w:hint="cs"/>
          <w:i/>
          <w:iCs/>
          <w:sz w:val="22"/>
          <w:szCs w:val="22"/>
        </w:rPr>
        <w:t xml:space="preserve"> di bilancio, non perdendo di vista l’obiettivo della qualità dell’offerta formativa e della ricerca.</w:t>
      </w:r>
      <w:r>
        <w:rPr>
          <w:rFonts w:ascii="Rubik" w:hAnsi="Rubik" w:cs="Rubik"/>
          <w:i/>
          <w:iCs/>
          <w:sz w:val="22"/>
          <w:szCs w:val="22"/>
        </w:rPr>
        <w:t>”</w:t>
      </w:r>
    </w:p>
    <w:p w14:paraId="424DF087" w14:textId="77777777" w:rsidR="00CC0FA2" w:rsidRDefault="00CC0FA2" w:rsidP="00CC0FA2">
      <w:pPr>
        <w:jc w:val="both"/>
        <w:rPr>
          <w:rFonts w:ascii="Rubik" w:hAnsi="Rubik" w:cs="Rubik"/>
          <w:sz w:val="22"/>
          <w:szCs w:val="22"/>
        </w:rPr>
      </w:pPr>
    </w:p>
    <w:p w14:paraId="598BDB46" w14:textId="440A7447" w:rsidR="005977FD" w:rsidRDefault="005977FD" w:rsidP="00CC0FA2">
      <w:pPr>
        <w:jc w:val="both"/>
        <w:rPr>
          <w:rFonts w:ascii="Rubik" w:hAnsi="Rubik" w:cs="Rubik"/>
          <w:i/>
          <w:sz w:val="22"/>
          <w:szCs w:val="22"/>
        </w:rPr>
      </w:pPr>
    </w:p>
    <w:p w14:paraId="7CCF1EAA" w14:textId="0EDC523B" w:rsidR="00507CA4" w:rsidRPr="00F25FFD" w:rsidRDefault="00CC0FA2" w:rsidP="00F25FFD">
      <w:pPr>
        <w:jc w:val="both"/>
        <w:rPr>
          <w:rFonts w:ascii="Rubik" w:hAnsi="Rubik" w:cs="Rubik"/>
          <w:i/>
          <w:color w:val="2F5496" w:themeColor="accent5" w:themeShade="BF"/>
          <w:sz w:val="18"/>
          <w:szCs w:val="18"/>
        </w:rPr>
      </w:pPr>
      <w:r w:rsidRPr="00CC0FA2">
        <w:rPr>
          <w:rFonts w:ascii="Rubik" w:hAnsi="Rubik" w:cs="Rubik" w:hint="cs"/>
          <w:i/>
          <w:color w:val="2F5496" w:themeColor="accent5" w:themeShade="BF"/>
          <w:sz w:val="18"/>
          <w:szCs w:val="18"/>
        </w:rPr>
        <w:t>NB. Il punto organico rappresenta il valore medio a livello di sistema del costo attribuito al professore ordinario. L'assunzione di un ordinario vale, infatti, un punto mentre per un associato si scende a 0,7 e per un ricercatore a 0,5. Lo stesso vale per il Personale tecnico-amministrativo e bibliotecario con percentuali diverse a seconda dell’inquadramento contrattuale</w:t>
      </w:r>
      <w:r w:rsidRPr="00CC0FA2">
        <w:rPr>
          <w:rFonts w:ascii="Rubik" w:hAnsi="Rubik" w:cs="Rubik"/>
          <w:i/>
          <w:color w:val="2F5496" w:themeColor="accent5" w:themeShade="BF"/>
          <w:sz w:val="18"/>
          <w:szCs w:val="18"/>
        </w:rPr>
        <w:t>.</w:t>
      </w:r>
    </w:p>
    <w:sectPr w:rsidR="00507CA4" w:rsidRPr="00F25FFD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16BBA" w14:textId="77777777" w:rsidR="009F759D" w:rsidRDefault="009F759D">
      <w:r>
        <w:separator/>
      </w:r>
    </w:p>
  </w:endnote>
  <w:endnote w:type="continuationSeparator" w:id="0">
    <w:p w14:paraId="163A4233" w14:textId="77777777" w:rsidR="009F759D" w:rsidRDefault="009F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799EC" w14:textId="77777777" w:rsidR="009F759D" w:rsidRDefault="009F759D">
      <w:r>
        <w:separator/>
      </w:r>
    </w:p>
  </w:footnote>
  <w:footnote w:type="continuationSeparator" w:id="0">
    <w:p w14:paraId="58646C8F" w14:textId="77777777" w:rsidR="009F759D" w:rsidRDefault="009F7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F759D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77777777" w:rsidR="007C29C7" w:rsidRDefault="009F75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F759D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1D55"/>
    <w:multiLevelType w:val="multilevel"/>
    <w:tmpl w:val="F57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44AA"/>
    <w:multiLevelType w:val="multilevel"/>
    <w:tmpl w:val="F46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B2EC4"/>
    <w:multiLevelType w:val="multilevel"/>
    <w:tmpl w:val="AE66F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5344"/>
    <w:multiLevelType w:val="multilevel"/>
    <w:tmpl w:val="331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09608C"/>
    <w:multiLevelType w:val="multilevel"/>
    <w:tmpl w:val="3862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3D7F40"/>
    <w:multiLevelType w:val="hybridMultilevel"/>
    <w:tmpl w:val="FAA2A25C"/>
    <w:lvl w:ilvl="0" w:tplc="152CA2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0254A7"/>
    <w:multiLevelType w:val="hybridMultilevel"/>
    <w:tmpl w:val="681099E2"/>
    <w:lvl w:ilvl="0" w:tplc="777C49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2C1DD6"/>
    <w:multiLevelType w:val="multilevel"/>
    <w:tmpl w:val="BA32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3B5CF8"/>
    <w:multiLevelType w:val="multilevel"/>
    <w:tmpl w:val="C17E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4C5C4A"/>
    <w:multiLevelType w:val="multilevel"/>
    <w:tmpl w:val="ADF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F30839"/>
    <w:multiLevelType w:val="multilevel"/>
    <w:tmpl w:val="5B36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2C42F9"/>
    <w:multiLevelType w:val="multilevel"/>
    <w:tmpl w:val="227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0373284">
    <w:abstractNumId w:val="7"/>
  </w:num>
  <w:num w:numId="2" w16cid:durableId="1999183868">
    <w:abstractNumId w:val="5"/>
  </w:num>
  <w:num w:numId="3" w16cid:durableId="1560289796">
    <w:abstractNumId w:val="9"/>
  </w:num>
  <w:num w:numId="4" w16cid:durableId="77336266">
    <w:abstractNumId w:val="0"/>
  </w:num>
  <w:num w:numId="5" w16cid:durableId="35669041">
    <w:abstractNumId w:val="13"/>
  </w:num>
  <w:num w:numId="6" w16cid:durableId="108207231">
    <w:abstractNumId w:val="10"/>
  </w:num>
  <w:num w:numId="7" w16cid:durableId="629827790">
    <w:abstractNumId w:val="12"/>
  </w:num>
  <w:num w:numId="8" w16cid:durableId="1596554761">
    <w:abstractNumId w:val="2"/>
  </w:num>
  <w:num w:numId="9" w16cid:durableId="55666011">
    <w:abstractNumId w:val="17"/>
  </w:num>
  <w:num w:numId="10" w16cid:durableId="526062231">
    <w:abstractNumId w:val="20"/>
  </w:num>
  <w:num w:numId="11" w16cid:durableId="2098596754">
    <w:abstractNumId w:val="14"/>
  </w:num>
  <w:num w:numId="12" w16cid:durableId="362366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128973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4229562">
    <w:abstractNumId w:val="15"/>
  </w:num>
  <w:num w:numId="15" w16cid:durableId="2129157770">
    <w:abstractNumId w:val="22"/>
  </w:num>
  <w:num w:numId="16" w16cid:durableId="153107976">
    <w:abstractNumId w:val="6"/>
  </w:num>
  <w:num w:numId="17" w16cid:durableId="32268003">
    <w:abstractNumId w:val="1"/>
  </w:num>
  <w:num w:numId="18" w16cid:durableId="277614581">
    <w:abstractNumId w:val="11"/>
  </w:num>
  <w:num w:numId="19" w16cid:durableId="1272008995">
    <w:abstractNumId w:val="19"/>
  </w:num>
  <w:num w:numId="20" w16cid:durableId="1052538144">
    <w:abstractNumId w:val="21"/>
  </w:num>
  <w:num w:numId="21" w16cid:durableId="589385458">
    <w:abstractNumId w:val="18"/>
  </w:num>
  <w:num w:numId="22" w16cid:durableId="713887782">
    <w:abstractNumId w:val="16"/>
  </w:num>
  <w:num w:numId="23" w16cid:durableId="1478651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1A08"/>
    <w:rsid w:val="00003045"/>
    <w:rsid w:val="00004F06"/>
    <w:rsid w:val="000434F5"/>
    <w:rsid w:val="00047A62"/>
    <w:rsid w:val="00060A6D"/>
    <w:rsid w:val="00094222"/>
    <w:rsid w:val="00095626"/>
    <w:rsid w:val="000975ED"/>
    <w:rsid w:val="000A00C3"/>
    <w:rsid w:val="000A5632"/>
    <w:rsid w:val="000D12C0"/>
    <w:rsid w:val="000D4AC0"/>
    <w:rsid w:val="000D6C04"/>
    <w:rsid w:val="000E2907"/>
    <w:rsid w:val="000F4740"/>
    <w:rsid w:val="00102624"/>
    <w:rsid w:val="00103B96"/>
    <w:rsid w:val="0012098F"/>
    <w:rsid w:val="00126815"/>
    <w:rsid w:val="00126FAB"/>
    <w:rsid w:val="00130B07"/>
    <w:rsid w:val="00135484"/>
    <w:rsid w:val="00160527"/>
    <w:rsid w:val="001611B8"/>
    <w:rsid w:val="00162F49"/>
    <w:rsid w:val="001727BC"/>
    <w:rsid w:val="0017493A"/>
    <w:rsid w:val="00186E51"/>
    <w:rsid w:val="00194DF7"/>
    <w:rsid w:val="001A3A45"/>
    <w:rsid w:val="001A7430"/>
    <w:rsid w:val="001B6B89"/>
    <w:rsid w:val="001C2D0B"/>
    <w:rsid w:val="001C3D94"/>
    <w:rsid w:val="001D4416"/>
    <w:rsid w:val="001D5E33"/>
    <w:rsid w:val="001D666A"/>
    <w:rsid w:val="001D6C55"/>
    <w:rsid w:val="001D70D0"/>
    <w:rsid w:val="001E2F27"/>
    <w:rsid w:val="001F0D20"/>
    <w:rsid w:val="001F7800"/>
    <w:rsid w:val="00201407"/>
    <w:rsid w:val="002054ED"/>
    <w:rsid w:val="00207010"/>
    <w:rsid w:val="002266D1"/>
    <w:rsid w:val="00235FF2"/>
    <w:rsid w:val="00245167"/>
    <w:rsid w:val="002500FA"/>
    <w:rsid w:val="00251E12"/>
    <w:rsid w:val="00252858"/>
    <w:rsid w:val="0025485F"/>
    <w:rsid w:val="00256051"/>
    <w:rsid w:val="00256742"/>
    <w:rsid w:val="00261058"/>
    <w:rsid w:val="002640B0"/>
    <w:rsid w:val="00267060"/>
    <w:rsid w:val="00267ABD"/>
    <w:rsid w:val="00271BE8"/>
    <w:rsid w:val="0027512F"/>
    <w:rsid w:val="002805DB"/>
    <w:rsid w:val="00284CA6"/>
    <w:rsid w:val="00287481"/>
    <w:rsid w:val="002A7937"/>
    <w:rsid w:val="002B3D85"/>
    <w:rsid w:val="002D0697"/>
    <w:rsid w:val="002E3E77"/>
    <w:rsid w:val="002E4361"/>
    <w:rsid w:val="002E4DA9"/>
    <w:rsid w:val="002F1308"/>
    <w:rsid w:val="002F2E08"/>
    <w:rsid w:val="002F2EFF"/>
    <w:rsid w:val="00303BC2"/>
    <w:rsid w:val="00317B14"/>
    <w:rsid w:val="003243D6"/>
    <w:rsid w:val="003279AB"/>
    <w:rsid w:val="00334242"/>
    <w:rsid w:val="003444E4"/>
    <w:rsid w:val="00350D91"/>
    <w:rsid w:val="00354B70"/>
    <w:rsid w:val="003605F2"/>
    <w:rsid w:val="003822A4"/>
    <w:rsid w:val="00393E25"/>
    <w:rsid w:val="00397809"/>
    <w:rsid w:val="003A19A4"/>
    <w:rsid w:val="003B4B77"/>
    <w:rsid w:val="003C7E36"/>
    <w:rsid w:val="003D5929"/>
    <w:rsid w:val="003D608C"/>
    <w:rsid w:val="003F10BC"/>
    <w:rsid w:val="003F39B8"/>
    <w:rsid w:val="003F4AC0"/>
    <w:rsid w:val="00400ECE"/>
    <w:rsid w:val="00404C79"/>
    <w:rsid w:val="004063FB"/>
    <w:rsid w:val="0040789F"/>
    <w:rsid w:val="00412268"/>
    <w:rsid w:val="00414613"/>
    <w:rsid w:val="00415278"/>
    <w:rsid w:val="00424D5F"/>
    <w:rsid w:val="00426E6A"/>
    <w:rsid w:val="0044264F"/>
    <w:rsid w:val="00447474"/>
    <w:rsid w:val="0046348B"/>
    <w:rsid w:val="00474372"/>
    <w:rsid w:val="004772CE"/>
    <w:rsid w:val="00485F68"/>
    <w:rsid w:val="00491F41"/>
    <w:rsid w:val="00493921"/>
    <w:rsid w:val="0049562F"/>
    <w:rsid w:val="004A1443"/>
    <w:rsid w:val="004A5C2E"/>
    <w:rsid w:val="004B3326"/>
    <w:rsid w:val="004C10B9"/>
    <w:rsid w:val="004C2EAE"/>
    <w:rsid w:val="004C3806"/>
    <w:rsid w:val="004C4159"/>
    <w:rsid w:val="004C7DBE"/>
    <w:rsid w:val="004D4D81"/>
    <w:rsid w:val="004E1E80"/>
    <w:rsid w:val="004E7E4D"/>
    <w:rsid w:val="004F1235"/>
    <w:rsid w:val="004F485D"/>
    <w:rsid w:val="00505C85"/>
    <w:rsid w:val="00507CA4"/>
    <w:rsid w:val="00513530"/>
    <w:rsid w:val="0051455E"/>
    <w:rsid w:val="0052417B"/>
    <w:rsid w:val="00525EB0"/>
    <w:rsid w:val="00532631"/>
    <w:rsid w:val="005442B8"/>
    <w:rsid w:val="00545251"/>
    <w:rsid w:val="00547216"/>
    <w:rsid w:val="0057496F"/>
    <w:rsid w:val="00575179"/>
    <w:rsid w:val="005762C2"/>
    <w:rsid w:val="0058734C"/>
    <w:rsid w:val="005926A2"/>
    <w:rsid w:val="005977FD"/>
    <w:rsid w:val="005A0AD6"/>
    <w:rsid w:val="005B109E"/>
    <w:rsid w:val="005B42D2"/>
    <w:rsid w:val="005B4C95"/>
    <w:rsid w:val="005C549E"/>
    <w:rsid w:val="005C5BAF"/>
    <w:rsid w:val="005E08BF"/>
    <w:rsid w:val="005E1D5B"/>
    <w:rsid w:val="005E2EE7"/>
    <w:rsid w:val="005F0829"/>
    <w:rsid w:val="006048D4"/>
    <w:rsid w:val="00624C8D"/>
    <w:rsid w:val="00627535"/>
    <w:rsid w:val="006403B2"/>
    <w:rsid w:val="00640C81"/>
    <w:rsid w:val="00641970"/>
    <w:rsid w:val="00643C3F"/>
    <w:rsid w:val="00651E71"/>
    <w:rsid w:val="006534ED"/>
    <w:rsid w:val="006570EE"/>
    <w:rsid w:val="006A41D6"/>
    <w:rsid w:val="006A5228"/>
    <w:rsid w:val="006C1C00"/>
    <w:rsid w:val="006C372E"/>
    <w:rsid w:val="006C58F4"/>
    <w:rsid w:val="006C6905"/>
    <w:rsid w:val="006E4C37"/>
    <w:rsid w:val="006F4D9F"/>
    <w:rsid w:val="006F6923"/>
    <w:rsid w:val="00702FB2"/>
    <w:rsid w:val="00703F46"/>
    <w:rsid w:val="00704377"/>
    <w:rsid w:val="007135A3"/>
    <w:rsid w:val="007247DB"/>
    <w:rsid w:val="00726E06"/>
    <w:rsid w:val="00731D61"/>
    <w:rsid w:val="00734E3E"/>
    <w:rsid w:val="00737D94"/>
    <w:rsid w:val="00747A5C"/>
    <w:rsid w:val="007542A1"/>
    <w:rsid w:val="007755E9"/>
    <w:rsid w:val="00785440"/>
    <w:rsid w:val="00785C27"/>
    <w:rsid w:val="00785C9A"/>
    <w:rsid w:val="007917F4"/>
    <w:rsid w:val="007A66F7"/>
    <w:rsid w:val="007A6D90"/>
    <w:rsid w:val="007B31E7"/>
    <w:rsid w:val="007C19B3"/>
    <w:rsid w:val="007C29C7"/>
    <w:rsid w:val="007D375D"/>
    <w:rsid w:val="007F2F89"/>
    <w:rsid w:val="007F4361"/>
    <w:rsid w:val="007F757F"/>
    <w:rsid w:val="00801F4E"/>
    <w:rsid w:val="00820185"/>
    <w:rsid w:val="008231F1"/>
    <w:rsid w:val="00823845"/>
    <w:rsid w:val="00833F4A"/>
    <w:rsid w:val="00835154"/>
    <w:rsid w:val="008540E7"/>
    <w:rsid w:val="00857C7B"/>
    <w:rsid w:val="0086408D"/>
    <w:rsid w:val="008953A3"/>
    <w:rsid w:val="008964D8"/>
    <w:rsid w:val="008A02D5"/>
    <w:rsid w:val="008C2DE6"/>
    <w:rsid w:val="008C6AC6"/>
    <w:rsid w:val="008D4802"/>
    <w:rsid w:val="008D62E7"/>
    <w:rsid w:val="008E5D09"/>
    <w:rsid w:val="008E76CB"/>
    <w:rsid w:val="008F443F"/>
    <w:rsid w:val="00902AA8"/>
    <w:rsid w:val="009115F4"/>
    <w:rsid w:val="00923C67"/>
    <w:rsid w:val="00934173"/>
    <w:rsid w:val="00943013"/>
    <w:rsid w:val="0094332D"/>
    <w:rsid w:val="00945112"/>
    <w:rsid w:val="00947A6A"/>
    <w:rsid w:val="00953D7B"/>
    <w:rsid w:val="0095762E"/>
    <w:rsid w:val="009634EF"/>
    <w:rsid w:val="00976D8E"/>
    <w:rsid w:val="00986CF4"/>
    <w:rsid w:val="00987196"/>
    <w:rsid w:val="009A4C79"/>
    <w:rsid w:val="009B0F7B"/>
    <w:rsid w:val="009B2AD6"/>
    <w:rsid w:val="009B5296"/>
    <w:rsid w:val="009C2DF4"/>
    <w:rsid w:val="009C4CFA"/>
    <w:rsid w:val="009D536F"/>
    <w:rsid w:val="009E511D"/>
    <w:rsid w:val="009E79E9"/>
    <w:rsid w:val="009F5BC3"/>
    <w:rsid w:val="009F759D"/>
    <w:rsid w:val="00A025A6"/>
    <w:rsid w:val="00A04FB3"/>
    <w:rsid w:val="00A20987"/>
    <w:rsid w:val="00A23A14"/>
    <w:rsid w:val="00A33970"/>
    <w:rsid w:val="00A35F1C"/>
    <w:rsid w:val="00A5339E"/>
    <w:rsid w:val="00A61283"/>
    <w:rsid w:val="00A61B75"/>
    <w:rsid w:val="00A62098"/>
    <w:rsid w:val="00A66448"/>
    <w:rsid w:val="00A73B8E"/>
    <w:rsid w:val="00A756C9"/>
    <w:rsid w:val="00A76F51"/>
    <w:rsid w:val="00A7713C"/>
    <w:rsid w:val="00A80F6D"/>
    <w:rsid w:val="00A9550F"/>
    <w:rsid w:val="00A95869"/>
    <w:rsid w:val="00A95C93"/>
    <w:rsid w:val="00AA1DBF"/>
    <w:rsid w:val="00AB35C4"/>
    <w:rsid w:val="00AC4C9E"/>
    <w:rsid w:val="00AE4AC8"/>
    <w:rsid w:val="00AE7772"/>
    <w:rsid w:val="00AF28D3"/>
    <w:rsid w:val="00AF7767"/>
    <w:rsid w:val="00B0291B"/>
    <w:rsid w:val="00B11117"/>
    <w:rsid w:val="00B1174E"/>
    <w:rsid w:val="00B24BFD"/>
    <w:rsid w:val="00B24FF1"/>
    <w:rsid w:val="00B2715C"/>
    <w:rsid w:val="00B303AF"/>
    <w:rsid w:val="00B54D30"/>
    <w:rsid w:val="00B624E0"/>
    <w:rsid w:val="00B62DD6"/>
    <w:rsid w:val="00B631CE"/>
    <w:rsid w:val="00B65302"/>
    <w:rsid w:val="00B659EC"/>
    <w:rsid w:val="00B8103A"/>
    <w:rsid w:val="00B8104F"/>
    <w:rsid w:val="00B845B2"/>
    <w:rsid w:val="00B908CD"/>
    <w:rsid w:val="00B95EEE"/>
    <w:rsid w:val="00BA02CF"/>
    <w:rsid w:val="00BA0C9D"/>
    <w:rsid w:val="00BA4A70"/>
    <w:rsid w:val="00BC42D5"/>
    <w:rsid w:val="00BC7A7D"/>
    <w:rsid w:val="00BD4D58"/>
    <w:rsid w:val="00BE333F"/>
    <w:rsid w:val="00BE4416"/>
    <w:rsid w:val="00BE6648"/>
    <w:rsid w:val="00BE6676"/>
    <w:rsid w:val="00C02775"/>
    <w:rsid w:val="00C14561"/>
    <w:rsid w:val="00C23F79"/>
    <w:rsid w:val="00C4263A"/>
    <w:rsid w:val="00C43326"/>
    <w:rsid w:val="00C433AF"/>
    <w:rsid w:val="00C47A78"/>
    <w:rsid w:val="00C56502"/>
    <w:rsid w:val="00C73F96"/>
    <w:rsid w:val="00C740AF"/>
    <w:rsid w:val="00C9095A"/>
    <w:rsid w:val="00CA257E"/>
    <w:rsid w:val="00CB516A"/>
    <w:rsid w:val="00CC0FA2"/>
    <w:rsid w:val="00CC4769"/>
    <w:rsid w:val="00CC5E2B"/>
    <w:rsid w:val="00CE1FB9"/>
    <w:rsid w:val="00D00EC9"/>
    <w:rsid w:val="00D0195F"/>
    <w:rsid w:val="00D126B7"/>
    <w:rsid w:val="00D249F2"/>
    <w:rsid w:val="00D269AB"/>
    <w:rsid w:val="00D34401"/>
    <w:rsid w:val="00D36B0E"/>
    <w:rsid w:val="00D50E0B"/>
    <w:rsid w:val="00D7373C"/>
    <w:rsid w:val="00D73BB7"/>
    <w:rsid w:val="00D75739"/>
    <w:rsid w:val="00D866DB"/>
    <w:rsid w:val="00D94562"/>
    <w:rsid w:val="00DA2017"/>
    <w:rsid w:val="00DB4BFD"/>
    <w:rsid w:val="00DC588B"/>
    <w:rsid w:val="00DC5AD5"/>
    <w:rsid w:val="00DC6FC9"/>
    <w:rsid w:val="00DD0E05"/>
    <w:rsid w:val="00DE22A4"/>
    <w:rsid w:val="00DE3A7E"/>
    <w:rsid w:val="00DE52A8"/>
    <w:rsid w:val="00DF33A7"/>
    <w:rsid w:val="00DF74BB"/>
    <w:rsid w:val="00E06571"/>
    <w:rsid w:val="00E12F07"/>
    <w:rsid w:val="00E138A5"/>
    <w:rsid w:val="00E233BF"/>
    <w:rsid w:val="00E24970"/>
    <w:rsid w:val="00E31F8B"/>
    <w:rsid w:val="00E35BD8"/>
    <w:rsid w:val="00E37A21"/>
    <w:rsid w:val="00E40EB6"/>
    <w:rsid w:val="00E51A65"/>
    <w:rsid w:val="00E87AF9"/>
    <w:rsid w:val="00E90BFA"/>
    <w:rsid w:val="00E9359C"/>
    <w:rsid w:val="00E97B2F"/>
    <w:rsid w:val="00ED4A9B"/>
    <w:rsid w:val="00EF2C8D"/>
    <w:rsid w:val="00EF7365"/>
    <w:rsid w:val="00F02708"/>
    <w:rsid w:val="00F03125"/>
    <w:rsid w:val="00F050DF"/>
    <w:rsid w:val="00F140C5"/>
    <w:rsid w:val="00F16CAF"/>
    <w:rsid w:val="00F2596C"/>
    <w:rsid w:val="00F25FFD"/>
    <w:rsid w:val="00F35462"/>
    <w:rsid w:val="00F35800"/>
    <w:rsid w:val="00F45205"/>
    <w:rsid w:val="00F47F11"/>
    <w:rsid w:val="00F544B7"/>
    <w:rsid w:val="00F549A4"/>
    <w:rsid w:val="00F61828"/>
    <w:rsid w:val="00F65783"/>
    <w:rsid w:val="00F805FF"/>
    <w:rsid w:val="00F92917"/>
    <w:rsid w:val="00F95E43"/>
    <w:rsid w:val="00F9680F"/>
    <w:rsid w:val="00F97147"/>
    <w:rsid w:val="00FA38B4"/>
    <w:rsid w:val="00FA6804"/>
    <w:rsid w:val="00FB59AA"/>
    <w:rsid w:val="00FC269F"/>
    <w:rsid w:val="00FD4E9C"/>
    <w:rsid w:val="00FD5A60"/>
    <w:rsid w:val="00FE5789"/>
    <w:rsid w:val="00FF12D5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  <w:style w:type="character" w:styleId="Enfasicorsivo">
    <w:name w:val="Emphasis"/>
    <w:basedOn w:val="Carpredefinitoparagrafo"/>
    <w:uiPriority w:val="20"/>
    <w:qFormat/>
    <w:rsid w:val="00A955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2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7256">
              <w:marLeft w:val="0"/>
              <w:marRight w:val="0"/>
              <w:marTop w:val="0"/>
              <w:marBottom w:val="45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3062440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9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2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80693">
              <w:marLeft w:val="0"/>
              <w:marRight w:val="0"/>
              <w:marTop w:val="0"/>
              <w:marBottom w:val="45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75682741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11</cp:revision>
  <dcterms:created xsi:type="dcterms:W3CDTF">2025-02-17T14:51:00Z</dcterms:created>
  <dcterms:modified xsi:type="dcterms:W3CDTF">2025-02-17T16:13:00Z</dcterms:modified>
</cp:coreProperties>
</file>