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B7CB" w14:textId="605978B6" w:rsidR="00750796" w:rsidRPr="00750796" w:rsidRDefault="00750796" w:rsidP="00750796">
      <w:pPr>
        <w:pStyle w:val="Default"/>
        <w:jc w:val="both"/>
        <w:rPr>
          <w:rFonts w:ascii="Rubik" w:hAnsi="Rubik" w:cs="Rubik" w:hint="cs"/>
          <w:b/>
          <w:bCs/>
          <w:color w:val="auto"/>
          <w:sz w:val="32"/>
          <w:szCs w:val="32"/>
        </w:rPr>
      </w:pPr>
      <w:r w:rsidRPr="00750796">
        <w:rPr>
          <w:rFonts w:ascii="Rubik" w:hAnsi="Rubik" w:cs="Rubik" w:hint="cs"/>
          <w:b/>
          <w:bCs/>
          <w:color w:val="auto"/>
          <w:sz w:val="32"/>
          <w:szCs w:val="32"/>
        </w:rPr>
        <w:t>CREO-LAB UniBg, nella seconda edizione del progetto di formazione imprenditoriale rafforzato il coinvolgimento dell’ecosistema territoriale dell’innovazione.</w:t>
      </w:r>
    </w:p>
    <w:p w14:paraId="0C8E8C5D" w14:textId="77777777" w:rsidR="00750796" w:rsidRPr="00750796" w:rsidRDefault="00750796" w:rsidP="00750796">
      <w:pPr>
        <w:pStyle w:val="Default"/>
        <w:jc w:val="both"/>
        <w:rPr>
          <w:rFonts w:ascii="Rubik" w:hAnsi="Rubik" w:cs="Rubik" w:hint="cs"/>
          <w:b/>
          <w:bCs/>
          <w:color w:val="auto"/>
          <w:sz w:val="32"/>
          <w:szCs w:val="32"/>
        </w:rPr>
      </w:pPr>
    </w:p>
    <w:p w14:paraId="53AB864E" w14:textId="77777777" w:rsidR="00750796" w:rsidRPr="00750796" w:rsidRDefault="00750796" w:rsidP="00750796">
      <w:pPr>
        <w:pStyle w:val="Default"/>
        <w:jc w:val="both"/>
        <w:rPr>
          <w:rFonts w:ascii="Rubik" w:hAnsi="Rubik" w:cs="Rubik" w:hint="cs"/>
          <w:b/>
          <w:bCs/>
          <w:color w:val="auto"/>
          <w:sz w:val="32"/>
          <w:szCs w:val="32"/>
        </w:rPr>
      </w:pPr>
      <w:r w:rsidRPr="00750796">
        <w:rPr>
          <w:rFonts w:ascii="Rubik" w:hAnsi="Rubik" w:cs="Rubik" w:hint="cs"/>
          <w:b/>
          <w:bCs/>
          <w:color w:val="auto"/>
          <w:sz w:val="32"/>
          <w:szCs w:val="32"/>
        </w:rPr>
        <w:t>Gewiss, Tenaris, Magris Group, Vitali e Ribo propongono sfide (challenge) su casi reali agli studenti del CREO-LAB Tecnologie Digitali e Intelligenza Artificiale</w:t>
      </w:r>
    </w:p>
    <w:p w14:paraId="764C413B" w14:textId="77777777" w:rsidR="00750796" w:rsidRPr="00750796" w:rsidRDefault="00750796" w:rsidP="00750796">
      <w:pPr>
        <w:pStyle w:val="Default"/>
        <w:jc w:val="both"/>
        <w:rPr>
          <w:rFonts w:ascii="Rubik" w:hAnsi="Rubik" w:cs="Rubik" w:hint="cs"/>
          <w:color w:val="auto"/>
          <w:sz w:val="23"/>
          <w:szCs w:val="23"/>
        </w:rPr>
      </w:pPr>
    </w:p>
    <w:p w14:paraId="666F5C5B" w14:textId="496F900B" w:rsidR="00750796" w:rsidRPr="00750796" w:rsidRDefault="00750796" w:rsidP="00750796">
      <w:pPr>
        <w:pStyle w:val="Default"/>
        <w:jc w:val="both"/>
        <w:rPr>
          <w:rFonts w:ascii="Rubik" w:hAnsi="Rubik" w:cs="Rubik" w:hint="cs"/>
          <w:color w:val="auto"/>
          <w:sz w:val="23"/>
          <w:szCs w:val="23"/>
        </w:rPr>
      </w:pPr>
      <w:r w:rsidRPr="00750796">
        <w:rPr>
          <w:rFonts w:ascii="Rubik" w:hAnsi="Rubik" w:cs="Rubik" w:hint="cs"/>
          <w:i/>
          <w:iCs/>
          <w:color w:val="auto"/>
          <w:sz w:val="23"/>
          <w:szCs w:val="23"/>
        </w:rPr>
        <w:t xml:space="preserve">Bergamo, </w:t>
      </w:r>
      <w:r>
        <w:rPr>
          <w:rFonts w:ascii="Rubik" w:hAnsi="Rubik" w:cs="Rubik"/>
          <w:i/>
          <w:iCs/>
          <w:color w:val="auto"/>
          <w:sz w:val="23"/>
          <w:szCs w:val="23"/>
        </w:rPr>
        <w:t xml:space="preserve">28 </w:t>
      </w:r>
      <w:r w:rsidRPr="00750796">
        <w:rPr>
          <w:rFonts w:ascii="Rubik" w:hAnsi="Rubik" w:cs="Rubik" w:hint="cs"/>
          <w:i/>
          <w:iCs/>
          <w:color w:val="auto"/>
          <w:sz w:val="23"/>
          <w:szCs w:val="23"/>
        </w:rPr>
        <w:t xml:space="preserve">febbraio 2025 </w:t>
      </w:r>
      <w:r w:rsidRPr="00750796">
        <w:rPr>
          <w:rFonts w:ascii="Rubik" w:hAnsi="Rubik" w:cs="Rubik" w:hint="cs"/>
          <w:color w:val="auto"/>
          <w:sz w:val="23"/>
          <w:szCs w:val="23"/>
        </w:rPr>
        <w:t xml:space="preserve">– La seconda edizione dei CREO-LAB proposti dall’Università degli studi di Bergamo rafforza il coinvolgimento dell’ecosistema territoriale dell’innovazione. I CREO-LAB sono laboratori innovativi, partecipativi e multidisciplinari attraverso cui studentesse e studenti affrontano le sfide socioeconomiche di oggi per imparare a disegnare le soluzioni originali di domani: sono quattro quelli previsti </w:t>
      </w:r>
      <w:r w:rsidRPr="00750796">
        <w:rPr>
          <w:rFonts w:ascii="Rubik" w:hAnsi="Rubik" w:cs="Rubik" w:hint="cs"/>
          <w:b/>
          <w:bCs/>
          <w:color w:val="auto"/>
          <w:sz w:val="23"/>
          <w:szCs w:val="23"/>
        </w:rPr>
        <w:t>da febbraio a giugno 2025</w:t>
      </w:r>
      <w:r w:rsidRPr="00750796">
        <w:rPr>
          <w:rFonts w:ascii="Rubik" w:hAnsi="Rubik" w:cs="Rubik" w:hint="cs"/>
          <w:color w:val="auto"/>
          <w:sz w:val="23"/>
          <w:szCs w:val="23"/>
        </w:rPr>
        <w:t xml:space="preserve"> – i CREO-LAB</w:t>
      </w:r>
      <w:r w:rsidRPr="00750796">
        <w:rPr>
          <w:rFonts w:ascii="Rubik" w:hAnsi="Rubik" w:cs="Rubik" w:hint="cs"/>
          <w:b/>
          <w:bCs/>
          <w:color w:val="auto"/>
          <w:sz w:val="23"/>
          <w:szCs w:val="23"/>
        </w:rPr>
        <w:t xml:space="preserve"> ‘</w:t>
      </w:r>
      <w:r w:rsidRPr="00750796">
        <w:rPr>
          <w:rFonts w:ascii="Rubik" w:hAnsi="Rubik" w:cs="Rubik" w:hint="cs"/>
          <w:color w:val="auto"/>
          <w:sz w:val="23"/>
          <w:szCs w:val="23"/>
        </w:rPr>
        <w:t xml:space="preserve">Tourism and creative </w:t>
      </w:r>
      <w:proofErr w:type="spellStart"/>
      <w:r w:rsidRPr="00750796">
        <w:rPr>
          <w:rFonts w:ascii="Rubik" w:hAnsi="Rubik" w:cs="Rubik" w:hint="cs"/>
          <w:color w:val="auto"/>
          <w:sz w:val="23"/>
          <w:szCs w:val="23"/>
        </w:rPr>
        <w:t>industries</w:t>
      </w:r>
      <w:proofErr w:type="spellEnd"/>
      <w:r w:rsidRPr="00750796">
        <w:rPr>
          <w:rFonts w:ascii="Rubik" w:hAnsi="Rubik" w:cs="Rubik" w:hint="cs"/>
          <w:color w:val="auto"/>
          <w:sz w:val="23"/>
          <w:szCs w:val="23"/>
        </w:rPr>
        <w:t>’, ‘Sustainability’, ‘Salute’, ‘Tecnologie digitali e Intelligenza Artificiale’</w:t>
      </w:r>
      <w:r w:rsidRPr="00750796">
        <w:rPr>
          <w:rFonts w:ascii="Rubik" w:hAnsi="Rubik" w:cs="Rubik" w:hint="cs"/>
          <w:b/>
          <w:bCs/>
          <w:color w:val="auto"/>
          <w:sz w:val="23"/>
          <w:szCs w:val="23"/>
        </w:rPr>
        <w:t xml:space="preserve"> </w:t>
      </w:r>
      <w:r w:rsidRPr="00750796">
        <w:rPr>
          <w:rFonts w:ascii="Rubik" w:hAnsi="Rubik" w:cs="Rubik" w:hint="cs"/>
          <w:color w:val="auto"/>
          <w:sz w:val="23"/>
          <w:szCs w:val="23"/>
        </w:rPr>
        <w:t>–, e</w:t>
      </w:r>
      <w:r w:rsidRPr="00750796">
        <w:rPr>
          <w:rFonts w:ascii="Rubik" w:hAnsi="Rubik" w:cs="Rubik" w:hint="cs"/>
          <w:b/>
          <w:bCs/>
          <w:color w:val="auto"/>
          <w:sz w:val="23"/>
          <w:szCs w:val="23"/>
        </w:rPr>
        <w:t xml:space="preserve"> </w:t>
      </w:r>
      <w:r w:rsidRPr="00750796">
        <w:rPr>
          <w:rFonts w:ascii="Rubik" w:hAnsi="Rubik" w:cs="Rubik" w:hint="cs"/>
          <w:color w:val="auto"/>
          <w:sz w:val="23"/>
          <w:szCs w:val="23"/>
        </w:rPr>
        <w:t xml:space="preserve">rappresentano il cuore della proposta di </w:t>
      </w:r>
      <w:r w:rsidRPr="00750796">
        <w:rPr>
          <w:rFonts w:ascii="Rubik" w:hAnsi="Rubik" w:cs="Rubik" w:hint="cs"/>
          <w:b/>
          <w:bCs/>
          <w:color w:val="auto"/>
          <w:sz w:val="23"/>
          <w:szCs w:val="23"/>
        </w:rPr>
        <w:t>CREO – Competencies and Resources for Entrepreneurial Orientation,</w:t>
      </w:r>
      <w:r w:rsidRPr="00750796">
        <w:rPr>
          <w:rFonts w:ascii="Rubik" w:hAnsi="Rubik" w:cs="Rubik" w:hint="cs"/>
          <w:color w:val="auto"/>
          <w:sz w:val="23"/>
          <w:szCs w:val="23"/>
        </w:rPr>
        <w:t xml:space="preserve"> il percorso di formazione accademica e imprenditoriale dell’Università degli studi di Bergamo che promuove la crescita personale, la creatività e la capacità di innovazione. </w:t>
      </w:r>
    </w:p>
    <w:p w14:paraId="59370CDD" w14:textId="77777777" w:rsidR="00750796" w:rsidRPr="00750796" w:rsidRDefault="00750796" w:rsidP="00750796">
      <w:pPr>
        <w:pStyle w:val="Default"/>
        <w:jc w:val="both"/>
        <w:rPr>
          <w:rFonts w:ascii="Rubik" w:hAnsi="Rubik" w:cs="Rubik" w:hint="cs"/>
          <w:color w:val="auto"/>
          <w:sz w:val="23"/>
          <w:szCs w:val="23"/>
        </w:rPr>
      </w:pPr>
    </w:p>
    <w:p w14:paraId="2FF55327" w14:textId="77777777" w:rsidR="00750796" w:rsidRPr="00750796" w:rsidRDefault="00750796" w:rsidP="00750796">
      <w:pPr>
        <w:pStyle w:val="Default"/>
        <w:jc w:val="both"/>
        <w:rPr>
          <w:rFonts w:ascii="Rubik" w:hAnsi="Rubik" w:cs="Rubik" w:hint="cs"/>
          <w:color w:val="auto"/>
          <w:sz w:val="23"/>
          <w:szCs w:val="23"/>
        </w:rPr>
      </w:pPr>
      <w:r w:rsidRPr="00750796">
        <w:rPr>
          <w:rFonts w:ascii="Rubik" w:hAnsi="Rubik" w:cs="Rubik" w:hint="cs"/>
          <w:color w:val="auto"/>
          <w:sz w:val="23"/>
          <w:szCs w:val="23"/>
        </w:rPr>
        <w:t xml:space="preserve">La seconda edizione dei CREO-LAB è caratterizzata da un forte coinvolgimento di imprese di primo piano sul panorama provinciale e non solo: </w:t>
      </w:r>
      <w:r w:rsidRPr="00750796">
        <w:rPr>
          <w:rFonts w:ascii="Rubik" w:hAnsi="Rubik" w:cs="Rubik" w:hint="cs"/>
          <w:b/>
          <w:bCs/>
          <w:color w:val="auto"/>
          <w:sz w:val="23"/>
          <w:szCs w:val="23"/>
        </w:rPr>
        <w:t>Gewiss, Tenaris, Magris Group, Vitali e Ribo</w:t>
      </w:r>
      <w:r w:rsidRPr="00750796">
        <w:rPr>
          <w:rFonts w:ascii="Rubik" w:hAnsi="Rubik" w:cs="Rubik" w:hint="cs"/>
          <w:color w:val="auto"/>
          <w:sz w:val="23"/>
          <w:szCs w:val="23"/>
        </w:rPr>
        <w:t xml:space="preserve"> si confronteranno con gli studenti e le studentesse del CREO-LAB Tecnologie Digitali e Intelligenza Artificiale proponendo </w:t>
      </w:r>
      <w:r w:rsidRPr="00750796">
        <w:rPr>
          <w:rFonts w:ascii="Rubik" w:hAnsi="Rubik" w:cs="Rubik" w:hint="cs"/>
          <w:b/>
          <w:bCs/>
          <w:color w:val="auto"/>
          <w:sz w:val="23"/>
          <w:szCs w:val="23"/>
        </w:rPr>
        <w:t>sfide</w:t>
      </w:r>
      <w:r w:rsidRPr="00750796">
        <w:rPr>
          <w:rFonts w:ascii="Rubik" w:hAnsi="Rubik" w:cs="Rubik" w:hint="cs"/>
          <w:color w:val="auto"/>
          <w:sz w:val="23"/>
          <w:szCs w:val="23"/>
        </w:rPr>
        <w:t xml:space="preserve"> (challenge) a partire dalle quali avviare un confronto per l’elaborazione di </w:t>
      </w:r>
      <w:r w:rsidRPr="00750796">
        <w:rPr>
          <w:rFonts w:ascii="Rubik" w:hAnsi="Rubik" w:cs="Rubik" w:hint="cs"/>
          <w:b/>
          <w:bCs/>
          <w:color w:val="auto"/>
          <w:sz w:val="23"/>
          <w:szCs w:val="23"/>
        </w:rPr>
        <w:t>progetti innovativi da applicare a casi reali</w:t>
      </w:r>
      <w:r w:rsidRPr="00750796">
        <w:rPr>
          <w:rFonts w:ascii="Rubik" w:hAnsi="Rubik" w:cs="Rubik" w:hint="cs"/>
          <w:color w:val="auto"/>
          <w:sz w:val="23"/>
          <w:szCs w:val="23"/>
        </w:rPr>
        <w:t xml:space="preserve">. </w:t>
      </w:r>
    </w:p>
    <w:p w14:paraId="7183C2FA" w14:textId="77777777" w:rsidR="00750796" w:rsidRPr="00750796" w:rsidRDefault="00750796" w:rsidP="00750796">
      <w:pPr>
        <w:pStyle w:val="Default"/>
        <w:jc w:val="both"/>
        <w:rPr>
          <w:rFonts w:ascii="Rubik" w:hAnsi="Rubik" w:cs="Rubik" w:hint="cs"/>
          <w:b/>
          <w:bCs/>
          <w:color w:val="auto"/>
          <w:sz w:val="23"/>
          <w:szCs w:val="23"/>
        </w:rPr>
      </w:pPr>
      <w:r w:rsidRPr="00750796">
        <w:rPr>
          <w:rFonts w:ascii="Rubik" w:hAnsi="Rubik" w:cs="Rubik" w:hint="cs"/>
          <w:color w:val="auto"/>
          <w:sz w:val="23"/>
          <w:szCs w:val="23"/>
        </w:rPr>
        <w:t>Dopo il sostegno nel lancio di CREO,</w:t>
      </w:r>
      <w:r w:rsidRPr="00750796">
        <w:rPr>
          <w:rFonts w:ascii="Rubik" w:hAnsi="Rubik" w:cs="Rubik" w:hint="cs"/>
        </w:rPr>
        <w:t xml:space="preserve"> </w:t>
      </w:r>
      <w:r w:rsidRPr="00750796">
        <w:rPr>
          <w:rFonts w:ascii="Rubik" w:hAnsi="Rubik" w:cs="Rubik" w:hint="cs"/>
          <w:b/>
          <w:bCs/>
          <w:color w:val="auto"/>
          <w:sz w:val="23"/>
          <w:szCs w:val="23"/>
        </w:rPr>
        <w:t xml:space="preserve">prosegue la partnership con Intesa Sanpaolo, Fondazione Pesenti Ets, Fondazione Emilio Lombardini. </w:t>
      </w:r>
      <w:r w:rsidRPr="00750796">
        <w:rPr>
          <w:rFonts w:ascii="Rubik" w:hAnsi="Rubik" w:cs="Rubik" w:hint="cs"/>
          <w:color w:val="auto"/>
          <w:sz w:val="23"/>
          <w:szCs w:val="23"/>
        </w:rPr>
        <w:t>Proprio il coinvolgimento dell’ecosistema territoriale dell’innovazione – imprese, investitori, organizzazioni, incubatori, dell’innovazione – è per CREO un elemento strategico, che offre a studentesse e studenti l’opportunità di fare network, costruire e rafforzare una community, sviluppare project work su casi d’interesse reali.</w:t>
      </w:r>
    </w:p>
    <w:p w14:paraId="66DBD96B" w14:textId="77777777" w:rsidR="00750796" w:rsidRPr="00750796" w:rsidRDefault="00750796" w:rsidP="00750796">
      <w:pPr>
        <w:pStyle w:val="Default"/>
        <w:jc w:val="both"/>
        <w:rPr>
          <w:rFonts w:ascii="Rubik" w:hAnsi="Rubik" w:cs="Rubik" w:hint="cs"/>
          <w:color w:val="auto"/>
          <w:sz w:val="23"/>
          <w:szCs w:val="23"/>
        </w:rPr>
      </w:pPr>
    </w:p>
    <w:p w14:paraId="1B30CD97" w14:textId="77777777" w:rsidR="00750796" w:rsidRPr="00750796" w:rsidRDefault="00750796" w:rsidP="00750796">
      <w:pPr>
        <w:pStyle w:val="Default"/>
        <w:jc w:val="both"/>
        <w:rPr>
          <w:rFonts w:ascii="Rubik" w:hAnsi="Rubik" w:cs="Rubik" w:hint="cs"/>
          <w:color w:val="auto"/>
          <w:sz w:val="23"/>
          <w:szCs w:val="23"/>
        </w:rPr>
      </w:pPr>
      <w:r w:rsidRPr="00750796">
        <w:rPr>
          <w:rFonts w:ascii="Rubik" w:hAnsi="Rubik" w:cs="Rubik" w:hint="cs"/>
          <w:b/>
          <w:bCs/>
          <w:color w:val="auto"/>
          <w:sz w:val="23"/>
          <w:szCs w:val="23"/>
        </w:rPr>
        <w:t>Le studentesse e gli studenti</w:t>
      </w:r>
      <w:r w:rsidRPr="00750796">
        <w:rPr>
          <w:rFonts w:ascii="Rubik" w:hAnsi="Rubik" w:cs="Rubik" w:hint="cs"/>
          <w:color w:val="auto"/>
          <w:sz w:val="23"/>
          <w:szCs w:val="23"/>
        </w:rPr>
        <w:t xml:space="preserve"> </w:t>
      </w:r>
      <w:r w:rsidRPr="00750796">
        <w:rPr>
          <w:rFonts w:ascii="Rubik" w:hAnsi="Rubik" w:cs="Rubik" w:hint="cs"/>
          <w:b/>
          <w:bCs/>
          <w:color w:val="auto"/>
          <w:sz w:val="23"/>
          <w:szCs w:val="23"/>
        </w:rPr>
        <w:t xml:space="preserve">iscritti all’edizione 2025 dei CREO-LAB sono 114, </w:t>
      </w:r>
      <w:r w:rsidRPr="00750796">
        <w:rPr>
          <w:rFonts w:ascii="Rubik" w:hAnsi="Rubik" w:cs="Rubik" w:hint="cs"/>
          <w:color w:val="auto"/>
          <w:sz w:val="23"/>
          <w:szCs w:val="23"/>
        </w:rPr>
        <w:t xml:space="preserve">con una formazione accademica così distribuita: il 59% segue un percorso tecnico-scientifico, il 25% appartiene all’area giuridico-economica, il 14% a quella delle scienze umane e sociali, mentre il 3% proviene dall’area medico-sanitaria. La maggior parte di questi è italiana (99), ma sono presenti anche 15 </w:t>
      </w:r>
      <w:r w:rsidRPr="00750796">
        <w:rPr>
          <w:rFonts w:ascii="Rubik" w:hAnsi="Rubik" w:cs="Rubik" w:hint="cs"/>
          <w:b/>
          <w:bCs/>
          <w:color w:val="auto"/>
          <w:sz w:val="23"/>
          <w:szCs w:val="23"/>
        </w:rPr>
        <w:t>studenti internazionali</w:t>
      </w:r>
      <w:r w:rsidRPr="00750796">
        <w:rPr>
          <w:rFonts w:ascii="Rubik" w:hAnsi="Rubik" w:cs="Rubik" w:hint="cs"/>
          <w:color w:val="auto"/>
          <w:sz w:val="23"/>
          <w:szCs w:val="23"/>
        </w:rPr>
        <w:t>, provenienti da Germania, Romania, Albania, Iran, Pakistan, Marocco, Tunisia, Turchia e Cuba.</w:t>
      </w:r>
    </w:p>
    <w:p w14:paraId="3A4BED07" w14:textId="77777777" w:rsidR="00750796" w:rsidRPr="00750796" w:rsidRDefault="00750796" w:rsidP="00750796">
      <w:pPr>
        <w:pStyle w:val="Default"/>
        <w:jc w:val="both"/>
        <w:rPr>
          <w:rFonts w:ascii="Rubik" w:hAnsi="Rubik" w:cs="Rubik" w:hint="cs"/>
          <w:color w:val="auto"/>
          <w:sz w:val="23"/>
          <w:szCs w:val="23"/>
        </w:rPr>
      </w:pPr>
    </w:p>
    <w:p w14:paraId="0DD0F0D9" w14:textId="236343C0" w:rsidR="00036CD4" w:rsidRPr="00750796" w:rsidRDefault="00750796" w:rsidP="00036CD4">
      <w:pPr>
        <w:jc w:val="both"/>
        <w:rPr>
          <w:rFonts w:ascii="Rubik" w:hAnsi="Rubik" w:cs="Rubik"/>
          <w:sz w:val="23"/>
          <w:szCs w:val="23"/>
        </w:rPr>
      </w:pPr>
      <w:r w:rsidRPr="00750796">
        <w:rPr>
          <w:rFonts w:ascii="Rubik" w:hAnsi="Rubik" w:cs="Rubik" w:hint="cs"/>
          <w:b/>
          <w:bCs/>
          <w:sz w:val="23"/>
          <w:szCs w:val="23"/>
        </w:rPr>
        <w:t>Sergio Cavalieri, Rettore Università degli studi di Bergamo</w:t>
      </w:r>
      <w:r w:rsidRPr="00750796">
        <w:rPr>
          <w:rFonts w:ascii="Rubik" w:hAnsi="Rubik" w:cs="Rubik" w:hint="cs"/>
          <w:sz w:val="23"/>
          <w:szCs w:val="23"/>
        </w:rPr>
        <w:t>:</w:t>
      </w:r>
    </w:p>
    <w:p w14:paraId="23B47D5D" w14:textId="30A47F3E" w:rsidR="00750796" w:rsidRPr="00036CD4" w:rsidRDefault="00750796" w:rsidP="00750796">
      <w:pPr>
        <w:jc w:val="both"/>
        <w:rPr>
          <w:rFonts w:ascii="Rubik" w:hAnsi="Rubik" w:cs="Rubik" w:hint="cs"/>
          <w:i/>
          <w:iCs/>
          <w:sz w:val="23"/>
          <w:szCs w:val="23"/>
        </w:rPr>
      </w:pPr>
      <w:r w:rsidRPr="00036CD4">
        <w:rPr>
          <w:rFonts w:ascii="Rubik" w:hAnsi="Rubik" w:cs="Rubik" w:hint="cs"/>
          <w:i/>
          <w:iCs/>
          <w:sz w:val="23"/>
          <w:szCs w:val="23"/>
        </w:rPr>
        <w:t>“CREO sta diventando pilastro dell’offerta didattica e dell’identità scientifica di UniBg. L’adesione degli studenti è cospicua e interdisciplinare e sono grato ai docenti coinvolti in quest’attività, che lavorano con entusiasmo e passione. CREO incarna già in pieno i principi della BAUHAUS4EU Alliance, l’alleanza internazionale di recente avvio, a cui UniBg partecipa</w:t>
      </w:r>
      <w:r w:rsidR="0012007D">
        <w:rPr>
          <w:rFonts w:ascii="Rubik" w:hAnsi="Rubik" w:cs="Rubik"/>
          <w:i/>
          <w:iCs/>
          <w:sz w:val="23"/>
          <w:szCs w:val="23"/>
        </w:rPr>
        <w:t xml:space="preserve">, oltre a sviluppare in una chiave interdisciplinare </w:t>
      </w:r>
      <w:r w:rsidR="0012007D" w:rsidRPr="0012007D">
        <w:rPr>
          <w:rFonts w:ascii="Rubik" w:hAnsi="Rubik" w:cs="Rubik"/>
          <w:i/>
          <w:iCs/>
          <w:sz w:val="23"/>
          <w:szCs w:val="23"/>
        </w:rPr>
        <w:t xml:space="preserve">i principi del piano </w:t>
      </w:r>
      <w:r w:rsidR="0012007D" w:rsidRPr="0012007D">
        <w:rPr>
          <w:rFonts w:ascii="Rubik" w:hAnsi="Rubik" w:cs="Rubik"/>
          <w:i/>
          <w:iCs/>
          <w:sz w:val="23"/>
          <w:szCs w:val="23"/>
        </w:rPr>
        <w:lastRenderedPageBreak/>
        <w:t>strategico di Ateneo 2023-2027 (Stili di vita, salute e benessere della persona; Patrimoni culturali e creativi; Economie e società sostenibili; Formazione e nuove professionalità)</w:t>
      </w:r>
      <w:r w:rsidR="0012007D" w:rsidRPr="0012007D">
        <w:rPr>
          <w:rFonts w:ascii="Rubik" w:hAnsi="Rubik" w:cs="Rubik"/>
          <w:i/>
          <w:iCs/>
          <w:sz w:val="23"/>
          <w:szCs w:val="23"/>
        </w:rPr>
        <w:t xml:space="preserve">, </w:t>
      </w:r>
      <w:r w:rsidR="0012007D" w:rsidRPr="0012007D">
        <w:rPr>
          <w:rFonts w:ascii="Rubik" w:hAnsi="Rubik" w:cs="Rubik"/>
          <w:i/>
          <w:iCs/>
          <w:sz w:val="23"/>
          <w:szCs w:val="23"/>
        </w:rPr>
        <w:t>contribuendo a orientare la crescita della nostra società.</w:t>
      </w:r>
      <w:r w:rsidRPr="00036CD4">
        <w:rPr>
          <w:rFonts w:ascii="Rubik" w:hAnsi="Rubik" w:cs="Rubik" w:hint="cs"/>
          <w:i/>
          <w:iCs/>
          <w:sz w:val="23"/>
          <w:szCs w:val="23"/>
        </w:rPr>
        <w:t>”</w:t>
      </w:r>
    </w:p>
    <w:p w14:paraId="5E3A2C07" w14:textId="77777777" w:rsidR="00750796" w:rsidRPr="0012007D" w:rsidRDefault="00750796" w:rsidP="00750796">
      <w:pPr>
        <w:jc w:val="both"/>
        <w:rPr>
          <w:rFonts w:ascii="Rubik" w:hAnsi="Rubik" w:cs="Rubik" w:hint="cs"/>
          <w:i/>
          <w:iCs/>
          <w:sz w:val="23"/>
          <w:szCs w:val="23"/>
        </w:rPr>
      </w:pPr>
    </w:p>
    <w:p w14:paraId="5B5B6EBF" w14:textId="77777777" w:rsidR="00036CD4" w:rsidRDefault="00750796" w:rsidP="00750796">
      <w:pPr>
        <w:jc w:val="both"/>
        <w:rPr>
          <w:rFonts w:ascii="Rubik" w:hAnsi="Rubik" w:cs="Rubik"/>
          <w:sz w:val="23"/>
          <w:szCs w:val="23"/>
        </w:rPr>
      </w:pPr>
      <w:r w:rsidRPr="00750796">
        <w:rPr>
          <w:rFonts w:ascii="Rubik" w:hAnsi="Rubik" w:cs="Rubik" w:hint="cs"/>
          <w:b/>
          <w:bCs/>
          <w:sz w:val="23"/>
          <w:szCs w:val="23"/>
        </w:rPr>
        <w:t>Tommaso Minola, Università degli studi di Bergamo, Direttore del CYFE</w:t>
      </w:r>
      <w:r w:rsidRPr="00750796">
        <w:rPr>
          <w:rFonts w:ascii="Rubik" w:hAnsi="Rubik" w:cs="Rubik" w:hint="cs"/>
          <w:sz w:val="23"/>
          <w:szCs w:val="23"/>
        </w:rPr>
        <w:t xml:space="preserve">: </w:t>
      </w:r>
    </w:p>
    <w:p w14:paraId="78B8012D" w14:textId="033D2259" w:rsidR="00750796" w:rsidRPr="00750796" w:rsidRDefault="00750796" w:rsidP="00750796">
      <w:pPr>
        <w:jc w:val="both"/>
        <w:rPr>
          <w:rFonts w:ascii="Rubik" w:hAnsi="Rubik" w:cs="Rubik" w:hint="cs"/>
          <w:i/>
          <w:iCs/>
          <w:sz w:val="23"/>
          <w:szCs w:val="23"/>
        </w:rPr>
      </w:pPr>
      <w:r w:rsidRPr="00750796">
        <w:rPr>
          <w:rFonts w:ascii="Rubik" w:hAnsi="Rubik" w:cs="Rubik" w:hint="cs"/>
          <w:i/>
          <w:iCs/>
          <w:sz w:val="23"/>
          <w:szCs w:val="23"/>
        </w:rPr>
        <w:t>"I CREO-LAB rappresentano un modello virtuoso in cui ricerca, didattica e rapporto con il territorio si intrecciano, declinandosi in quattro ambiti strategici per il nostro Ateneo: salute, sostenibilità, digitalizzazione, turismo e industrie creative. I dati più recenti, raccolti su un campione di circa 5.000 studenti universitari italiani provenienti da quasi 30 atenei, evidenziano come oltre il 30% degli studenti universitari riceva ormai una formazione imprenditoriale, in diverse forme, dal proprio Ateneo (fonte: Rapporto GUESSS 2021-22 e Rapporto GUESSS 2023-24). Numeri significativi, che avvicinano l’Italia ai sistemi universitari anglosassoni e testimoniano un forte interesse degli studenti verso l’imprenditorialità, intesa non solo come creazione d’impresa, ma come competenza chiave per il futuro. Quest’anno avviamo la sperimentazione nel CREO-LAB ‘Tecnologie digitali e Intelligenza Artificiale’, con il coinvolgimento diretto di alcune imprese, per arricchire ulteriormente l’esperienza di apprendimento dei partecipanti."</w:t>
      </w:r>
    </w:p>
    <w:p w14:paraId="4612061F" w14:textId="77777777" w:rsidR="00750796" w:rsidRPr="00750796" w:rsidRDefault="00750796" w:rsidP="00750796">
      <w:pPr>
        <w:pStyle w:val="Default"/>
        <w:jc w:val="both"/>
        <w:rPr>
          <w:rFonts w:ascii="Rubik" w:hAnsi="Rubik" w:cs="Rubik" w:hint="cs"/>
          <w:b/>
          <w:bCs/>
          <w:color w:val="auto"/>
          <w:sz w:val="23"/>
          <w:szCs w:val="23"/>
        </w:rPr>
      </w:pPr>
    </w:p>
    <w:p w14:paraId="3C81A6F5" w14:textId="77777777" w:rsidR="00750796" w:rsidRPr="00750796" w:rsidRDefault="00750796" w:rsidP="00750796">
      <w:pPr>
        <w:pStyle w:val="Default"/>
        <w:jc w:val="both"/>
        <w:rPr>
          <w:rFonts w:ascii="Rubik" w:hAnsi="Rubik" w:cs="Rubik" w:hint="cs"/>
          <w:b/>
          <w:bCs/>
          <w:color w:val="auto"/>
          <w:sz w:val="23"/>
          <w:szCs w:val="23"/>
        </w:rPr>
      </w:pPr>
      <w:r w:rsidRPr="00750796">
        <w:rPr>
          <w:rFonts w:ascii="Rubik" w:hAnsi="Rubik" w:cs="Rubik" w:hint="cs"/>
          <w:b/>
          <w:bCs/>
          <w:color w:val="auto"/>
          <w:sz w:val="23"/>
          <w:szCs w:val="23"/>
        </w:rPr>
        <w:t>IL PROGETTO CREO</w:t>
      </w:r>
    </w:p>
    <w:p w14:paraId="54EEDAB9" w14:textId="77777777" w:rsidR="00750796" w:rsidRPr="00750796" w:rsidRDefault="00750796" w:rsidP="00750796">
      <w:pPr>
        <w:pStyle w:val="Default"/>
        <w:jc w:val="both"/>
        <w:rPr>
          <w:rFonts w:ascii="Rubik" w:hAnsi="Rubik" w:cs="Rubik" w:hint="cs"/>
          <w:color w:val="auto"/>
          <w:sz w:val="23"/>
          <w:szCs w:val="23"/>
        </w:rPr>
      </w:pPr>
      <w:r w:rsidRPr="00750796">
        <w:rPr>
          <w:rFonts w:ascii="Rubik" w:hAnsi="Rubik" w:cs="Rubik" w:hint="cs"/>
          <w:color w:val="auto"/>
          <w:sz w:val="23"/>
          <w:szCs w:val="23"/>
        </w:rPr>
        <w:t>CREO – Competencies and Resources for Entrepreneurial Orientation (</w:t>
      </w:r>
      <w:hyperlink r:id="rId12" w:history="1">
        <w:r w:rsidRPr="00750796">
          <w:rPr>
            <w:rStyle w:val="Collegamentoipertestuale"/>
            <w:rFonts w:ascii="Rubik" w:hAnsi="Rubik" w:cs="Rubik" w:hint="cs"/>
            <w:sz w:val="23"/>
            <w:szCs w:val="23"/>
          </w:rPr>
          <w:t>www.creo.unibg.it</w:t>
        </w:r>
      </w:hyperlink>
      <w:r w:rsidRPr="00750796">
        <w:rPr>
          <w:rFonts w:ascii="Rubik" w:hAnsi="Rubik" w:cs="Rubik" w:hint="cs"/>
          <w:color w:val="auto"/>
          <w:sz w:val="23"/>
          <w:szCs w:val="23"/>
        </w:rPr>
        <w:t xml:space="preserve">) è un </w:t>
      </w:r>
      <w:r w:rsidRPr="00750796">
        <w:rPr>
          <w:rFonts w:ascii="Rubik" w:hAnsi="Rubik" w:cs="Rubik" w:hint="cs"/>
          <w:b/>
          <w:bCs/>
          <w:color w:val="auto"/>
          <w:sz w:val="23"/>
          <w:szCs w:val="23"/>
        </w:rPr>
        <w:t>‘ventaglio’ di esperienze</w:t>
      </w:r>
      <w:r w:rsidRPr="00750796">
        <w:rPr>
          <w:rFonts w:ascii="Rubik" w:hAnsi="Rubik" w:cs="Rubik" w:hint="cs"/>
          <w:color w:val="auto"/>
          <w:sz w:val="23"/>
          <w:szCs w:val="23"/>
        </w:rPr>
        <w:t xml:space="preserve"> rivolte a studenti iscritti alle lauree magistrali o all’ultimo biennio di una laurea a ciclo unico in tutti i campi del sapere – dall’ingegneria all’economia, dalla giurisprudenza alle scienze umane – in grado di promuovere un metodo e un approccio mentale, fornendo strumenti per allenare all’intraprendenza, al lavoro di gruppo, allo spirito di adattamento e al senso di responsabilità. Iniziative pensate per mettersi alla prova, scoprendo e coltivando i propri talenti, la leadership, la capacità di </w:t>
      </w:r>
      <w:proofErr w:type="spellStart"/>
      <w:r w:rsidRPr="00750796">
        <w:rPr>
          <w:rFonts w:ascii="Rubik" w:hAnsi="Rubik" w:cs="Rubik" w:hint="cs"/>
          <w:color w:val="auto"/>
          <w:sz w:val="23"/>
          <w:szCs w:val="23"/>
        </w:rPr>
        <w:t>problem</w:t>
      </w:r>
      <w:proofErr w:type="spellEnd"/>
      <w:r w:rsidRPr="00750796">
        <w:rPr>
          <w:rFonts w:ascii="Rubik" w:hAnsi="Rubik" w:cs="Rubik" w:hint="cs"/>
          <w:color w:val="auto"/>
          <w:sz w:val="23"/>
          <w:szCs w:val="23"/>
        </w:rPr>
        <w:t xml:space="preserve"> solving, il lavoro per obiettivi e in </w:t>
      </w:r>
      <w:proofErr w:type="gramStart"/>
      <w:r w:rsidRPr="00750796">
        <w:rPr>
          <w:rFonts w:ascii="Rubik" w:hAnsi="Rubik" w:cs="Rubik" w:hint="cs"/>
          <w:color w:val="auto"/>
          <w:sz w:val="23"/>
          <w:szCs w:val="23"/>
        </w:rPr>
        <w:t>team</w:t>
      </w:r>
      <w:proofErr w:type="gramEnd"/>
      <w:r w:rsidRPr="00750796">
        <w:rPr>
          <w:rFonts w:ascii="Rubik" w:hAnsi="Rubik" w:cs="Rubik" w:hint="cs"/>
          <w:color w:val="auto"/>
          <w:sz w:val="23"/>
          <w:szCs w:val="23"/>
        </w:rPr>
        <w:t xml:space="preserve">.  </w:t>
      </w:r>
    </w:p>
    <w:p w14:paraId="15F4D922" w14:textId="1F437DBB" w:rsidR="005E0E17" w:rsidRPr="00750796" w:rsidRDefault="00750796" w:rsidP="00750796">
      <w:pPr>
        <w:pStyle w:val="Default"/>
        <w:jc w:val="both"/>
        <w:rPr>
          <w:rFonts w:ascii="Rubik" w:hAnsi="Rubik" w:cs="Rubik" w:hint="cs"/>
          <w:color w:val="auto"/>
          <w:sz w:val="23"/>
          <w:szCs w:val="23"/>
        </w:rPr>
      </w:pPr>
      <w:r w:rsidRPr="00750796">
        <w:rPr>
          <w:rFonts w:ascii="Rubik" w:hAnsi="Rubik" w:cs="Rubik" w:hint="cs"/>
          <w:color w:val="auto"/>
          <w:sz w:val="23"/>
          <w:szCs w:val="23"/>
        </w:rPr>
        <w:t xml:space="preserve">Il programma dell’anno accademico 2024/2025 prevede complessivamente oltre </w:t>
      </w:r>
      <w:r w:rsidRPr="00750796">
        <w:rPr>
          <w:rFonts w:ascii="Rubik" w:hAnsi="Rubik" w:cs="Rubik" w:hint="cs"/>
          <w:b/>
          <w:bCs/>
          <w:color w:val="auto"/>
          <w:sz w:val="23"/>
          <w:szCs w:val="23"/>
        </w:rPr>
        <w:t>18 proposte</w:t>
      </w:r>
      <w:r w:rsidRPr="00750796">
        <w:rPr>
          <w:rFonts w:ascii="Rubik" w:hAnsi="Rubik" w:cs="Rubik" w:hint="cs"/>
          <w:color w:val="auto"/>
          <w:sz w:val="23"/>
          <w:szCs w:val="23"/>
        </w:rPr>
        <w:t xml:space="preserve"> tra corsi, laboratori, eventi e competizioni. Ad essere coinvolti </w:t>
      </w:r>
      <w:r w:rsidRPr="00750796">
        <w:rPr>
          <w:rFonts w:ascii="Rubik" w:hAnsi="Rubik" w:cs="Rubik" w:hint="cs"/>
          <w:b/>
          <w:bCs/>
          <w:color w:val="auto"/>
          <w:sz w:val="23"/>
          <w:szCs w:val="23"/>
        </w:rPr>
        <w:t>30 docenti e ricercatori</w:t>
      </w:r>
      <w:r w:rsidRPr="00750796">
        <w:rPr>
          <w:rFonts w:ascii="Rubik" w:hAnsi="Rubik" w:cs="Rubik" w:hint="cs"/>
          <w:color w:val="auto"/>
          <w:sz w:val="23"/>
          <w:szCs w:val="23"/>
        </w:rPr>
        <w:t>.</w:t>
      </w:r>
    </w:p>
    <w:sectPr w:rsidR="005E0E17" w:rsidRPr="00750796">
      <w:headerReference w:type="even" r:id="rId13"/>
      <w:headerReference w:type="default" r:id="rId14"/>
      <w:footerReference w:type="default" r:id="rId15"/>
      <w:headerReference w:type="first" r:id="rId16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03F9" w14:textId="77777777" w:rsidR="008A4F6B" w:rsidRDefault="008A4F6B">
      <w:r>
        <w:separator/>
      </w:r>
    </w:p>
  </w:endnote>
  <w:endnote w:type="continuationSeparator" w:id="0">
    <w:p w14:paraId="5078329D" w14:textId="77777777" w:rsidR="008A4F6B" w:rsidRDefault="008A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9D5E" w14:textId="77777777" w:rsidR="008A4F6B" w:rsidRDefault="008A4F6B">
      <w:r>
        <w:separator/>
      </w:r>
    </w:p>
  </w:footnote>
  <w:footnote w:type="continuationSeparator" w:id="0">
    <w:p w14:paraId="286ED7F1" w14:textId="77777777" w:rsidR="008A4F6B" w:rsidRDefault="008A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magine 1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A4F6B">
      <w:rPr>
        <w:rFonts w:ascii="Calibri" w:eastAsia="Calibri" w:hAnsi="Calibri" w:cs="Calibri"/>
        <w:color w:val="000000"/>
      </w:rPr>
      <w:pict w14:anchorId="151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77777777" w:rsidR="007C29C7" w:rsidRDefault="008A4F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1F404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magine 2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A4F6B">
      <w:rPr>
        <w:rFonts w:ascii="Calibri" w:eastAsia="Calibri" w:hAnsi="Calibri" w:cs="Calibri"/>
        <w:color w:val="000000"/>
      </w:rPr>
      <w:pict w14:anchorId="16921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11D55"/>
    <w:multiLevelType w:val="multilevel"/>
    <w:tmpl w:val="F57A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944AA"/>
    <w:multiLevelType w:val="multilevel"/>
    <w:tmpl w:val="F462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B2EC4"/>
    <w:multiLevelType w:val="multilevel"/>
    <w:tmpl w:val="AE66F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05344"/>
    <w:multiLevelType w:val="multilevel"/>
    <w:tmpl w:val="331C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9608C"/>
    <w:multiLevelType w:val="multilevel"/>
    <w:tmpl w:val="3862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D7F40"/>
    <w:multiLevelType w:val="hybridMultilevel"/>
    <w:tmpl w:val="FAA2A25C"/>
    <w:lvl w:ilvl="0" w:tplc="152CA28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8B6350"/>
    <w:multiLevelType w:val="hybridMultilevel"/>
    <w:tmpl w:val="6226B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0254A7"/>
    <w:multiLevelType w:val="hybridMultilevel"/>
    <w:tmpl w:val="681099E2"/>
    <w:lvl w:ilvl="0" w:tplc="777C49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2C1DD6"/>
    <w:multiLevelType w:val="multilevel"/>
    <w:tmpl w:val="BA32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3B5CF8"/>
    <w:multiLevelType w:val="multilevel"/>
    <w:tmpl w:val="C17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4C5C4A"/>
    <w:multiLevelType w:val="multilevel"/>
    <w:tmpl w:val="ADFC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F30839"/>
    <w:multiLevelType w:val="multilevel"/>
    <w:tmpl w:val="5B36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2C42F9"/>
    <w:multiLevelType w:val="multilevel"/>
    <w:tmpl w:val="2278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F6578E"/>
    <w:multiLevelType w:val="multilevel"/>
    <w:tmpl w:val="3B98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373284">
    <w:abstractNumId w:val="7"/>
  </w:num>
  <w:num w:numId="2" w16cid:durableId="1999183868">
    <w:abstractNumId w:val="5"/>
  </w:num>
  <w:num w:numId="3" w16cid:durableId="1560289796">
    <w:abstractNumId w:val="9"/>
  </w:num>
  <w:num w:numId="4" w16cid:durableId="77336266">
    <w:abstractNumId w:val="0"/>
  </w:num>
  <w:num w:numId="5" w16cid:durableId="35669041">
    <w:abstractNumId w:val="14"/>
  </w:num>
  <w:num w:numId="6" w16cid:durableId="108207231">
    <w:abstractNumId w:val="10"/>
  </w:num>
  <w:num w:numId="7" w16cid:durableId="629827790">
    <w:abstractNumId w:val="13"/>
  </w:num>
  <w:num w:numId="8" w16cid:durableId="1596554761">
    <w:abstractNumId w:val="2"/>
  </w:num>
  <w:num w:numId="9" w16cid:durableId="55666011">
    <w:abstractNumId w:val="18"/>
  </w:num>
  <w:num w:numId="10" w16cid:durableId="526062231">
    <w:abstractNumId w:val="21"/>
  </w:num>
  <w:num w:numId="11" w16cid:durableId="2098596754">
    <w:abstractNumId w:val="15"/>
  </w:num>
  <w:num w:numId="12" w16cid:durableId="362366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128973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4229562">
    <w:abstractNumId w:val="16"/>
  </w:num>
  <w:num w:numId="15" w16cid:durableId="2129157770">
    <w:abstractNumId w:val="23"/>
  </w:num>
  <w:num w:numId="16" w16cid:durableId="153107976">
    <w:abstractNumId w:val="6"/>
  </w:num>
  <w:num w:numId="17" w16cid:durableId="32268003">
    <w:abstractNumId w:val="1"/>
  </w:num>
  <w:num w:numId="18" w16cid:durableId="277614581">
    <w:abstractNumId w:val="11"/>
  </w:num>
  <w:num w:numId="19" w16cid:durableId="1272008995">
    <w:abstractNumId w:val="20"/>
  </w:num>
  <w:num w:numId="20" w16cid:durableId="1052538144">
    <w:abstractNumId w:val="22"/>
  </w:num>
  <w:num w:numId="21" w16cid:durableId="589385458">
    <w:abstractNumId w:val="19"/>
  </w:num>
  <w:num w:numId="22" w16cid:durableId="713887782">
    <w:abstractNumId w:val="17"/>
  </w:num>
  <w:num w:numId="23" w16cid:durableId="147865164">
    <w:abstractNumId w:val="8"/>
  </w:num>
  <w:num w:numId="24" w16cid:durableId="494300885">
    <w:abstractNumId w:val="12"/>
  </w:num>
  <w:num w:numId="25" w16cid:durableId="17048195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01A08"/>
    <w:rsid w:val="00003045"/>
    <w:rsid w:val="00004F06"/>
    <w:rsid w:val="0001312F"/>
    <w:rsid w:val="00022F13"/>
    <w:rsid w:val="00036CD4"/>
    <w:rsid w:val="000434F5"/>
    <w:rsid w:val="00047A62"/>
    <w:rsid w:val="00060A6D"/>
    <w:rsid w:val="0007298F"/>
    <w:rsid w:val="00094222"/>
    <w:rsid w:val="00095626"/>
    <w:rsid w:val="000975ED"/>
    <w:rsid w:val="000A00C3"/>
    <w:rsid w:val="000A5632"/>
    <w:rsid w:val="000D12C0"/>
    <w:rsid w:val="000D4AC0"/>
    <w:rsid w:val="000D6C04"/>
    <w:rsid w:val="000E2907"/>
    <w:rsid w:val="000F4740"/>
    <w:rsid w:val="000F58F2"/>
    <w:rsid w:val="00102624"/>
    <w:rsid w:val="00103B96"/>
    <w:rsid w:val="0011190C"/>
    <w:rsid w:val="0012007D"/>
    <w:rsid w:val="0012098F"/>
    <w:rsid w:val="00126744"/>
    <w:rsid w:val="00126815"/>
    <w:rsid w:val="00126FAB"/>
    <w:rsid w:val="00130B07"/>
    <w:rsid w:val="00135484"/>
    <w:rsid w:val="00142A87"/>
    <w:rsid w:val="00146DBB"/>
    <w:rsid w:val="00160527"/>
    <w:rsid w:val="001611B8"/>
    <w:rsid w:val="00162617"/>
    <w:rsid w:val="00162F49"/>
    <w:rsid w:val="001727BC"/>
    <w:rsid w:val="0017493A"/>
    <w:rsid w:val="00186E51"/>
    <w:rsid w:val="00190A94"/>
    <w:rsid w:val="00194DF7"/>
    <w:rsid w:val="001A3A45"/>
    <w:rsid w:val="001A7430"/>
    <w:rsid w:val="001B6B89"/>
    <w:rsid w:val="001C2D0B"/>
    <w:rsid w:val="001C3D94"/>
    <w:rsid w:val="001D4416"/>
    <w:rsid w:val="001D5E33"/>
    <w:rsid w:val="001D666A"/>
    <w:rsid w:val="001D6C55"/>
    <w:rsid w:val="001D70D0"/>
    <w:rsid w:val="001E2F27"/>
    <w:rsid w:val="001F0D20"/>
    <w:rsid w:val="001F7800"/>
    <w:rsid w:val="00201407"/>
    <w:rsid w:val="00201DB9"/>
    <w:rsid w:val="002054ED"/>
    <w:rsid w:val="00207010"/>
    <w:rsid w:val="002222DE"/>
    <w:rsid w:val="002266D1"/>
    <w:rsid w:val="00235FF2"/>
    <w:rsid w:val="00245167"/>
    <w:rsid w:val="00247AB2"/>
    <w:rsid w:val="002500FA"/>
    <w:rsid w:val="00251E12"/>
    <w:rsid w:val="00252858"/>
    <w:rsid w:val="0025485F"/>
    <w:rsid w:val="00256051"/>
    <w:rsid w:val="00256742"/>
    <w:rsid w:val="00261058"/>
    <w:rsid w:val="002640B0"/>
    <w:rsid w:val="00267060"/>
    <w:rsid w:val="00267ABD"/>
    <w:rsid w:val="00271BE8"/>
    <w:rsid w:val="0027512F"/>
    <w:rsid w:val="002801E8"/>
    <w:rsid w:val="002805DB"/>
    <w:rsid w:val="00284CA6"/>
    <w:rsid w:val="00287481"/>
    <w:rsid w:val="002A7937"/>
    <w:rsid w:val="002B3D85"/>
    <w:rsid w:val="002B49D5"/>
    <w:rsid w:val="002D0697"/>
    <w:rsid w:val="002E3E77"/>
    <w:rsid w:val="002E4361"/>
    <w:rsid w:val="002E4DA9"/>
    <w:rsid w:val="002F0F8C"/>
    <w:rsid w:val="002F1308"/>
    <w:rsid w:val="002F2E08"/>
    <w:rsid w:val="002F2EFF"/>
    <w:rsid w:val="002F6B7B"/>
    <w:rsid w:val="00303BC2"/>
    <w:rsid w:val="003167DC"/>
    <w:rsid w:val="00317B14"/>
    <w:rsid w:val="003243D6"/>
    <w:rsid w:val="003279AB"/>
    <w:rsid w:val="00334242"/>
    <w:rsid w:val="003444E4"/>
    <w:rsid w:val="00350D91"/>
    <w:rsid w:val="00354B70"/>
    <w:rsid w:val="003605F2"/>
    <w:rsid w:val="0036108A"/>
    <w:rsid w:val="003822A4"/>
    <w:rsid w:val="00393E25"/>
    <w:rsid w:val="00397809"/>
    <w:rsid w:val="003A19A4"/>
    <w:rsid w:val="003B4B77"/>
    <w:rsid w:val="003C1A74"/>
    <w:rsid w:val="003C7E36"/>
    <w:rsid w:val="003D5929"/>
    <w:rsid w:val="003D608C"/>
    <w:rsid w:val="003F10BC"/>
    <w:rsid w:val="003F39B8"/>
    <w:rsid w:val="003F4AC0"/>
    <w:rsid w:val="00400CEB"/>
    <w:rsid w:val="00400ECE"/>
    <w:rsid w:val="00404C79"/>
    <w:rsid w:val="004063FB"/>
    <w:rsid w:val="0040789F"/>
    <w:rsid w:val="00412268"/>
    <w:rsid w:val="00414613"/>
    <w:rsid w:val="00415278"/>
    <w:rsid w:val="00424D5F"/>
    <w:rsid w:val="00426E6A"/>
    <w:rsid w:val="00430F4A"/>
    <w:rsid w:val="0044264F"/>
    <w:rsid w:val="00447474"/>
    <w:rsid w:val="00456EA1"/>
    <w:rsid w:val="00457BE3"/>
    <w:rsid w:val="0046348B"/>
    <w:rsid w:val="00474372"/>
    <w:rsid w:val="004772CE"/>
    <w:rsid w:val="00485AD6"/>
    <w:rsid w:val="00485F68"/>
    <w:rsid w:val="00491F41"/>
    <w:rsid w:val="00493921"/>
    <w:rsid w:val="0049562F"/>
    <w:rsid w:val="004A1443"/>
    <w:rsid w:val="004A5C2E"/>
    <w:rsid w:val="004B3326"/>
    <w:rsid w:val="004C10B9"/>
    <w:rsid w:val="004C2EAE"/>
    <w:rsid w:val="004C3806"/>
    <w:rsid w:val="004C4159"/>
    <w:rsid w:val="004C7DBE"/>
    <w:rsid w:val="004D4D81"/>
    <w:rsid w:val="004E1E80"/>
    <w:rsid w:val="004E7E4D"/>
    <w:rsid w:val="004F1235"/>
    <w:rsid w:val="004F485D"/>
    <w:rsid w:val="00505C85"/>
    <w:rsid w:val="00507CA4"/>
    <w:rsid w:val="00513530"/>
    <w:rsid w:val="0051455E"/>
    <w:rsid w:val="0052417B"/>
    <w:rsid w:val="00525EB0"/>
    <w:rsid w:val="00532631"/>
    <w:rsid w:val="005442B8"/>
    <w:rsid w:val="00545251"/>
    <w:rsid w:val="00547216"/>
    <w:rsid w:val="00570AED"/>
    <w:rsid w:val="0057496F"/>
    <w:rsid w:val="00575179"/>
    <w:rsid w:val="005762C2"/>
    <w:rsid w:val="0058734C"/>
    <w:rsid w:val="005926A2"/>
    <w:rsid w:val="005977FD"/>
    <w:rsid w:val="005A0AD6"/>
    <w:rsid w:val="005B109E"/>
    <w:rsid w:val="005B42D2"/>
    <w:rsid w:val="005B4C95"/>
    <w:rsid w:val="005C549E"/>
    <w:rsid w:val="005C5BAF"/>
    <w:rsid w:val="005E08BF"/>
    <w:rsid w:val="005E0E17"/>
    <w:rsid w:val="005E1D5B"/>
    <w:rsid w:val="005E2EE7"/>
    <w:rsid w:val="005F0829"/>
    <w:rsid w:val="005F6788"/>
    <w:rsid w:val="006048D4"/>
    <w:rsid w:val="00623FDA"/>
    <w:rsid w:val="00624C8D"/>
    <w:rsid w:val="00627535"/>
    <w:rsid w:val="006403B2"/>
    <w:rsid w:val="00640C81"/>
    <w:rsid w:val="00641970"/>
    <w:rsid w:val="00643C3F"/>
    <w:rsid w:val="00651E71"/>
    <w:rsid w:val="006534ED"/>
    <w:rsid w:val="006570EE"/>
    <w:rsid w:val="00683ED1"/>
    <w:rsid w:val="006A41D6"/>
    <w:rsid w:val="006A5228"/>
    <w:rsid w:val="006C1C00"/>
    <w:rsid w:val="006C372E"/>
    <w:rsid w:val="006C58F4"/>
    <w:rsid w:val="006C6905"/>
    <w:rsid w:val="006E4C37"/>
    <w:rsid w:val="006F4D9F"/>
    <w:rsid w:val="006F6923"/>
    <w:rsid w:val="00702FB2"/>
    <w:rsid w:val="00703F46"/>
    <w:rsid w:val="00704377"/>
    <w:rsid w:val="007135A3"/>
    <w:rsid w:val="007247DB"/>
    <w:rsid w:val="0072694A"/>
    <w:rsid w:val="00726E06"/>
    <w:rsid w:val="00731D61"/>
    <w:rsid w:val="00734E3E"/>
    <w:rsid w:val="00737D94"/>
    <w:rsid w:val="00747A5C"/>
    <w:rsid w:val="00750796"/>
    <w:rsid w:val="007542A1"/>
    <w:rsid w:val="00754FB4"/>
    <w:rsid w:val="007630E9"/>
    <w:rsid w:val="007755E9"/>
    <w:rsid w:val="0078031C"/>
    <w:rsid w:val="007818E0"/>
    <w:rsid w:val="0078415F"/>
    <w:rsid w:val="00785440"/>
    <w:rsid w:val="00785C27"/>
    <w:rsid w:val="00785C9A"/>
    <w:rsid w:val="007866BB"/>
    <w:rsid w:val="007917F4"/>
    <w:rsid w:val="007A2870"/>
    <w:rsid w:val="007A66F7"/>
    <w:rsid w:val="007A6D90"/>
    <w:rsid w:val="007B31E7"/>
    <w:rsid w:val="007C19B3"/>
    <w:rsid w:val="007C29C7"/>
    <w:rsid w:val="007D375D"/>
    <w:rsid w:val="007E6002"/>
    <w:rsid w:val="007F2F89"/>
    <w:rsid w:val="007F4361"/>
    <w:rsid w:val="007F757F"/>
    <w:rsid w:val="00801F4E"/>
    <w:rsid w:val="00805ACC"/>
    <w:rsid w:val="0081731C"/>
    <w:rsid w:val="00820185"/>
    <w:rsid w:val="008231F1"/>
    <w:rsid w:val="00823845"/>
    <w:rsid w:val="00833F4A"/>
    <w:rsid w:val="00835154"/>
    <w:rsid w:val="00847DC8"/>
    <w:rsid w:val="008540E7"/>
    <w:rsid w:val="00857C7B"/>
    <w:rsid w:val="0086408D"/>
    <w:rsid w:val="008918AA"/>
    <w:rsid w:val="008953A3"/>
    <w:rsid w:val="008964D8"/>
    <w:rsid w:val="008A02D5"/>
    <w:rsid w:val="008A4F6B"/>
    <w:rsid w:val="008B0B72"/>
    <w:rsid w:val="008C2DE6"/>
    <w:rsid w:val="008C6AC6"/>
    <w:rsid w:val="008D4802"/>
    <w:rsid w:val="008D62E7"/>
    <w:rsid w:val="008D7E3A"/>
    <w:rsid w:val="008E5D09"/>
    <w:rsid w:val="008E76CB"/>
    <w:rsid w:val="008F443F"/>
    <w:rsid w:val="00902AA8"/>
    <w:rsid w:val="00906405"/>
    <w:rsid w:val="009115F4"/>
    <w:rsid w:val="00915854"/>
    <w:rsid w:val="00923C67"/>
    <w:rsid w:val="00934173"/>
    <w:rsid w:val="00943013"/>
    <w:rsid w:val="0094332D"/>
    <w:rsid w:val="00945112"/>
    <w:rsid w:val="00947A6A"/>
    <w:rsid w:val="00953D7B"/>
    <w:rsid w:val="0095762E"/>
    <w:rsid w:val="00960660"/>
    <w:rsid w:val="009634EF"/>
    <w:rsid w:val="00976D8E"/>
    <w:rsid w:val="00986CF4"/>
    <w:rsid w:val="00987196"/>
    <w:rsid w:val="009925DF"/>
    <w:rsid w:val="009A4C79"/>
    <w:rsid w:val="009B0F7B"/>
    <w:rsid w:val="009B2AD6"/>
    <w:rsid w:val="009B5296"/>
    <w:rsid w:val="009C25EE"/>
    <w:rsid w:val="009C2DF4"/>
    <w:rsid w:val="009C4CFA"/>
    <w:rsid w:val="009C5BA0"/>
    <w:rsid w:val="009D536F"/>
    <w:rsid w:val="009E511D"/>
    <w:rsid w:val="009E79E9"/>
    <w:rsid w:val="009F5BC3"/>
    <w:rsid w:val="009F688E"/>
    <w:rsid w:val="009F759D"/>
    <w:rsid w:val="00A025A6"/>
    <w:rsid w:val="00A04FB3"/>
    <w:rsid w:val="00A126FA"/>
    <w:rsid w:val="00A20987"/>
    <w:rsid w:val="00A23A14"/>
    <w:rsid w:val="00A33970"/>
    <w:rsid w:val="00A35F1C"/>
    <w:rsid w:val="00A44FDA"/>
    <w:rsid w:val="00A5339E"/>
    <w:rsid w:val="00A61283"/>
    <w:rsid w:val="00A61B75"/>
    <w:rsid w:val="00A62098"/>
    <w:rsid w:val="00A66448"/>
    <w:rsid w:val="00A73B8E"/>
    <w:rsid w:val="00A756C9"/>
    <w:rsid w:val="00A76F51"/>
    <w:rsid w:val="00A7713C"/>
    <w:rsid w:val="00A80F6D"/>
    <w:rsid w:val="00A9550F"/>
    <w:rsid w:val="00A95869"/>
    <w:rsid w:val="00A95C93"/>
    <w:rsid w:val="00A96303"/>
    <w:rsid w:val="00AA1DBF"/>
    <w:rsid w:val="00AB35C4"/>
    <w:rsid w:val="00AC4C9E"/>
    <w:rsid w:val="00AE224B"/>
    <w:rsid w:val="00AE4AC8"/>
    <w:rsid w:val="00AE7772"/>
    <w:rsid w:val="00AF28D3"/>
    <w:rsid w:val="00AF7767"/>
    <w:rsid w:val="00B0291B"/>
    <w:rsid w:val="00B11117"/>
    <w:rsid w:val="00B1174E"/>
    <w:rsid w:val="00B24BFD"/>
    <w:rsid w:val="00B24FF1"/>
    <w:rsid w:val="00B2715C"/>
    <w:rsid w:val="00B303AF"/>
    <w:rsid w:val="00B54D30"/>
    <w:rsid w:val="00B624E0"/>
    <w:rsid w:val="00B62DD6"/>
    <w:rsid w:val="00B631CE"/>
    <w:rsid w:val="00B64036"/>
    <w:rsid w:val="00B65302"/>
    <w:rsid w:val="00B659EC"/>
    <w:rsid w:val="00B8103A"/>
    <w:rsid w:val="00B8104F"/>
    <w:rsid w:val="00B845B2"/>
    <w:rsid w:val="00B908CD"/>
    <w:rsid w:val="00B91193"/>
    <w:rsid w:val="00B915F0"/>
    <w:rsid w:val="00B944D4"/>
    <w:rsid w:val="00B95EEE"/>
    <w:rsid w:val="00BA02CF"/>
    <w:rsid w:val="00BA0C9D"/>
    <w:rsid w:val="00BA4A70"/>
    <w:rsid w:val="00BB0AC6"/>
    <w:rsid w:val="00BC42D5"/>
    <w:rsid w:val="00BC7A7D"/>
    <w:rsid w:val="00BD4D58"/>
    <w:rsid w:val="00BE333F"/>
    <w:rsid w:val="00BE4416"/>
    <w:rsid w:val="00BE6648"/>
    <w:rsid w:val="00BE6676"/>
    <w:rsid w:val="00BF3038"/>
    <w:rsid w:val="00C02775"/>
    <w:rsid w:val="00C14561"/>
    <w:rsid w:val="00C23F79"/>
    <w:rsid w:val="00C4263A"/>
    <w:rsid w:val="00C43326"/>
    <w:rsid w:val="00C433AF"/>
    <w:rsid w:val="00C47A78"/>
    <w:rsid w:val="00C56502"/>
    <w:rsid w:val="00C73F96"/>
    <w:rsid w:val="00C740AF"/>
    <w:rsid w:val="00C9095A"/>
    <w:rsid w:val="00CA257E"/>
    <w:rsid w:val="00CB516A"/>
    <w:rsid w:val="00CC0FA2"/>
    <w:rsid w:val="00CC4769"/>
    <w:rsid w:val="00CC5E2B"/>
    <w:rsid w:val="00CE1FB9"/>
    <w:rsid w:val="00D00EC9"/>
    <w:rsid w:val="00D0195F"/>
    <w:rsid w:val="00D126B7"/>
    <w:rsid w:val="00D2033F"/>
    <w:rsid w:val="00D249F2"/>
    <w:rsid w:val="00D269AB"/>
    <w:rsid w:val="00D34401"/>
    <w:rsid w:val="00D36B0E"/>
    <w:rsid w:val="00D43295"/>
    <w:rsid w:val="00D50E0B"/>
    <w:rsid w:val="00D5796F"/>
    <w:rsid w:val="00D7373C"/>
    <w:rsid w:val="00D73BB7"/>
    <w:rsid w:val="00D75739"/>
    <w:rsid w:val="00D866DB"/>
    <w:rsid w:val="00D94562"/>
    <w:rsid w:val="00DA2017"/>
    <w:rsid w:val="00DB4BFD"/>
    <w:rsid w:val="00DC588B"/>
    <w:rsid w:val="00DC5AD5"/>
    <w:rsid w:val="00DC6FC9"/>
    <w:rsid w:val="00DD0E05"/>
    <w:rsid w:val="00DD36F9"/>
    <w:rsid w:val="00DE22A4"/>
    <w:rsid w:val="00DE3A7E"/>
    <w:rsid w:val="00DE52A8"/>
    <w:rsid w:val="00DF33A7"/>
    <w:rsid w:val="00DF74BB"/>
    <w:rsid w:val="00E06571"/>
    <w:rsid w:val="00E12F07"/>
    <w:rsid w:val="00E138A5"/>
    <w:rsid w:val="00E233BF"/>
    <w:rsid w:val="00E24970"/>
    <w:rsid w:val="00E31F8B"/>
    <w:rsid w:val="00E35BD8"/>
    <w:rsid w:val="00E37A21"/>
    <w:rsid w:val="00E40EB6"/>
    <w:rsid w:val="00E51A65"/>
    <w:rsid w:val="00E87AF9"/>
    <w:rsid w:val="00E90BFA"/>
    <w:rsid w:val="00E9359C"/>
    <w:rsid w:val="00E97B2F"/>
    <w:rsid w:val="00EA0661"/>
    <w:rsid w:val="00EC13E9"/>
    <w:rsid w:val="00ED4A9B"/>
    <w:rsid w:val="00EE6854"/>
    <w:rsid w:val="00EF2C8D"/>
    <w:rsid w:val="00EF7365"/>
    <w:rsid w:val="00F02708"/>
    <w:rsid w:val="00F03125"/>
    <w:rsid w:val="00F050DF"/>
    <w:rsid w:val="00F140C5"/>
    <w:rsid w:val="00F16CAF"/>
    <w:rsid w:val="00F2596C"/>
    <w:rsid w:val="00F25FFD"/>
    <w:rsid w:val="00F3332F"/>
    <w:rsid w:val="00F35462"/>
    <w:rsid w:val="00F35800"/>
    <w:rsid w:val="00F45205"/>
    <w:rsid w:val="00F47F11"/>
    <w:rsid w:val="00F544B7"/>
    <w:rsid w:val="00F549A4"/>
    <w:rsid w:val="00F61828"/>
    <w:rsid w:val="00F65783"/>
    <w:rsid w:val="00F805FF"/>
    <w:rsid w:val="00F92917"/>
    <w:rsid w:val="00F95E43"/>
    <w:rsid w:val="00F9680F"/>
    <w:rsid w:val="00F97147"/>
    <w:rsid w:val="00FA38B4"/>
    <w:rsid w:val="00FA6804"/>
    <w:rsid w:val="00FB59AA"/>
    <w:rsid w:val="00FC269F"/>
    <w:rsid w:val="00FD4E9C"/>
    <w:rsid w:val="00FD5A60"/>
    <w:rsid w:val="00FD6170"/>
    <w:rsid w:val="00FE5789"/>
    <w:rsid w:val="00FF12D5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customStyle="1" w:styleId="il">
    <w:name w:val="il"/>
    <w:basedOn w:val="Carpredefinitoparagrafo"/>
    <w:rsid w:val="008E76CB"/>
  </w:style>
  <w:style w:type="character" w:styleId="Enfasicorsivo">
    <w:name w:val="Emphasis"/>
    <w:basedOn w:val="Carpredefinitoparagrafo"/>
    <w:uiPriority w:val="20"/>
    <w:qFormat/>
    <w:rsid w:val="00A9550F"/>
    <w:rPr>
      <w:i/>
      <w:iCs/>
    </w:rPr>
  </w:style>
  <w:style w:type="paragraph" w:customStyle="1" w:styleId="Default">
    <w:name w:val="Default"/>
    <w:rsid w:val="00750796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2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8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4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7256">
              <w:marLeft w:val="0"/>
              <w:marRight w:val="0"/>
              <w:marTop w:val="0"/>
              <w:marBottom w:val="45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2306244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69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80693">
              <w:marLeft w:val="0"/>
              <w:marRight w:val="0"/>
              <w:marTop w:val="0"/>
              <w:marBottom w:val="45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7568274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2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reo.unibg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6E2C98F8EC4EBD3EF672627807B4" ma:contentTypeVersion="13" ma:contentTypeDescription="Create a new document." ma:contentTypeScope="" ma:versionID="96a67a4230d71313b44225a2993a857e">
  <xsd:schema xmlns:xsd="http://www.w3.org/2001/XMLSchema" xmlns:xs="http://www.w3.org/2001/XMLSchema" xmlns:p="http://schemas.microsoft.com/office/2006/metadata/properties" xmlns:ns3="9eb583d8-5dba-443b-bbcf-0a96e144d5d2" xmlns:ns4="c5394202-9881-434c-8117-97c1d114fe55" targetNamespace="http://schemas.microsoft.com/office/2006/metadata/properties" ma:root="true" ma:fieldsID="1d22e0e34f9d9a22abdf80a4a633c6db" ns3:_="" ns4:_="">
    <xsd:import namespace="9eb583d8-5dba-443b-bbcf-0a96e144d5d2"/>
    <xsd:import namespace="c5394202-9881-434c-8117-97c1d114f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583d8-5dba-443b-bbcf-0a96e144d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94202-9881-434c-8117-97c1d114f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A5078-CA9C-471A-8886-C6F6B7F41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507F48-A5E6-4ABE-ADBF-E845A2A87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F8632-C5D6-4C28-A30D-37D5A591B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583d8-5dba-443b-bbcf-0a96e144d5d2"/>
    <ds:schemaRef ds:uri="c5394202-9881-434c-8117-97c1d114f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32933FED-5BA7-43F1-895F-21477A85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Martina Cerea</cp:lastModifiedBy>
  <cp:revision>45</cp:revision>
  <cp:lastPrinted>2025-02-27T11:12:00Z</cp:lastPrinted>
  <dcterms:created xsi:type="dcterms:W3CDTF">2025-02-22T09:19:00Z</dcterms:created>
  <dcterms:modified xsi:type="dcterms:W3CDTF">2025-02-28T14:58:00Z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0x010100CDA66E2C98F8EC4EBD3EF672627807B4</vt:lpwstr>
  </property>
</Properties>
</file>