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5ABA" w14:textId="77777777" w:rsidR="0071289F" w:rsidRPr="0071289F" w:rsidRDefault="009E511D" w:rsidP="0071289F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71289F">
        <w:rPr>
          <w:rFonts w:ascii="Rubik" w:eastAsia="Rubik" w:hAnsi="Rubik" w:cs="Rubik" w:hint="cs"/>
          <w:sz w:val="22"/>
          <w:szCs w:val="22"/>
          <w:u w:val="single"/>
        </w:rPr>
        <w:t>COMUNICATO STAMPA</w:t>
      </w:r>
    </w:p>
    <w:p w14:paraId="703ACE4B" w14:textId="77777777" w:rsidR="0071289F" w:rsidRPr="0071289F" w:rsidRDefault="0071289F" w:rsidP="0071289F">
      <w:pPr>
        <w:jc w:val="center"/>
        <w:rPr>
          <w:rFonts w:ascii="Rubik" w:eastAsia="Rubik" w:hAnsi="Rubik" w:cs="Rubik"/>
          <w:sz w:val="22"/>
          <w:szCs w:val="22"/>
          <w:u w:val="single"/>
        </w:rPr>
      </w:pPr>
    </w:p>
    <w:p w14:paraId="6C160A5C" w14:textId="77777777" w:rsidR="0071289F" w:rsidRDefault="0071289F" w:rsidP="0071289F">
      <w:pPr>
        <w:jc w:val="center"/>
        <w:rPr>
          <w:rStyle w:val="Enfasigrassetto"/>
          <w:rFonts w:ascii="Rubik" w:hAnsi="Rubik" w:cs="Rubik"/>
        </w:rPr>
      </w:pPr>
      <w:r w:rsidRPr="0071289F">
        <w:rPr>
          <w:rStyle w:val="Enfasigrassetto"/>
          <w:rFonts w:ascii="Rubik" w:hAnsi="Rubik" w:cs="Rubik" w:hint="cs"/>
        </w:rPr>
        <w:t>UNIVERSITÀ DI BERGAMO, APERTO IL BANDO PER IL XLI CICLO</w:t>
      </w:r>
    </w:p>
    <w:p w14:paraId="3DE8AE32" w14:textId="77777777" w:rsidR="0071289F" w:rsidRDefault="0071289F" w:rsidP="0071289F">
      <w:pPr>
        <w:jc w:val="center"/>
        <w:rPr>
          <w:rStyle w:val="Enfasigrassetto"/>
          <w:rFonts w:ascii="Rubik" w:hAnsi="Rubik" w:cs="Rubik"/>
        </w:rPr>
      </w:pPr>
      <w:r w:rsidRPr="0071289F">
        <w:rPr>
          <w:rStyle w:val="Enfasigrassetto"/>
          <w:rFonts w:ascii="Rubik" w:hAnsi="Rubik" w:cs="Rubik" w:hint="cs"/>
        </w:rPr>
        <w:t>DEI CORSI DI DOTTORATO DI RICERCA</w:t>
      </w:r>
    </w:p>
    <w:p w14:paraId="4974E16F" w14:textId="77777777" w:rsidR="00B63511" w:rsidRDefault="0071289F" w:rsidP="0071289F">
      <w:pPr>
        <w:jc w:val="center"/>
        <w:rPr>
          <w:rStyle w:val="Enfasigrassetto"/>
          <w:rFonts w:ascii="Rubik" w:hAnsi="Rubik" w:cs="Rubik"/>
          <w:i/>
          <w:iCs/>
          <w:sz w:val="22"/>
          <w:szCs w:val="22"/>
        </w:rPr>
      </w:pPr>
      <w:r w:rsidRPr="0071289F">
        <w:rPr>
          <w:rFonts w:ascii="Rubik" w:hAnsi="Rubik" w:cs="Rubik" w:hint="cs"/>
        </w:rPr>
        <w:br/>
      </w:r>
      <w:r w:rsidR="00B63511" w:rsidRPr="00B63511">
        <w:rPr>
          <w:rStyle w:val="Enfasigrassetto"/>
          <w:rFonts w:ascii="Rubik" w:hAnsi="Rubik" w:cs="Rubik"/>
          <w:i/>
          <w:iCs/>
          <w:sz w:val="22"/>
          <w:szCs w:val="22"/>
        </w:rPr>
        <w:t>Due le novità che arricchiscono ulteriormente l’offerta formativa e di ricerca dell’Ateneo: il dottorato in Artificial Intelligence for Sustainable Futures</w:t>
      </w:r>
    </w:p>
    <w:p w14:paraId="69D539E0" w14:textId="16698310" w:rsidR="0071289F" w:rsidRPr="00B63511" w:rsidRDefault="00B63511" w:rsidP="0071289F">
      <w:pPr>
        <w:jc w:val="center"/>
        <w:rPr>
          <w:rStyle w:val="Enfasigrassetto"/>
          <w:rFonts w:ascii="Rubik" w:hAnsi="Rubik" w:cs="Rubik"/>
          <w:i/>
          <w:iCs/>
          <w:sz w:val="22"/>
          <w:szCs w:val="22"/>
        </w:rPr>
      </w:pPr>
      <w:r w:rsidRPr="00B63511">
        <w:rPr>
          <w:rStyle w:val="Enfasigrassetto"/>
          <w:rFonts w:ascii="Rubik" w:hAnsi="Rubik" w:cs="Rubik"/>
          <w:i/>
          <w:iCs/>
          <w:sz w:val="22"/>
          <w:szCs w:val="22"/>
        </w:rPr>
        <w:t>e quello in Scienze Umane e Socia</w:t>
      </w:r>
      <w:r w:rsidR="00271373">
        <w:rPr>
          <w:rStyle w:val="Enfasigrassetto"/>
          <w:rFonts w:ascii="Rubik" w:hAnsi="Rubik" w:cs="Rubik"/>
          <w:i/>
          <w:iCs/>
          <w:sz w:val="22"/>
          <w:szCs w:val="22"/>
        </w:rPr>
        <w:t>li</w:t>
      </w:r>
    </w:p>
    <w:p w14:paraId="49CE4148" w14:textId="77777777" w:rsidR="0071289F" w:rsidRPr="001A4116" w:rsidRDefault="0071289F" w:rsidP="0071289F">
      <w:pPr>
        <w:jc w:val="center"/>
        <w:rPr>
          <w:rFonts w:ascii="Rubik" w:eastAsia="Rubik" w:hAnsi="Rubik" w:cs="Rubik"/>
          <w:sz w:val="22"/>
          <w:szCs w:val="22"/>
          <w:u w:val="single"/>
        </w:rPr>
      </w:pPr>
    </w:p>
    <w:p w14:paraId="341A48FA" w14:textId="12E7C2AF" w:rsidR="0071289F" w:rsidRPr="001A4116" w:rsidRDefault="0071289F" w:rsidP="0071289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1A4116">
        <w:rPr>
          <w:rFonts w:ascii="Rubik" w:hAnsi="Rubik" w:cs="Rubik" w:hint="cs"/>
          <w:i/>
          <w:iCs/>
          <w:sz w:val="22"/>
          <w:szCs w:val="22"/>
        </w:rPr>
        <w:t xml:space="preserve">Bergamo, </w:t>
      </w:r>
      <w:r w:rsidR="00271373" w:rsidRPr="001A4116">
        <w:rPr>
          <w:rFonts w:ascii="Rubik" w:hAnsi="Rubik" w:cs="Rubik" w:hint="cs"/>
          <w:i/>
          <w:iCs/>
          <w:sz w:val="22"/>
          <w:szCs w:val="22"/>
        </w:rPr>
        <w:t>3 giugn</w:t>
      </w:r>
      <w:r w:rsidRPr="001A4116">
        <w:rPr>
          <w:rFonts w:ascii="Rubik" w:hAnsi="Rubik" w:cs="Rubik" w:hint="cs"/>
          <w:i/>
          <w:iCs/>
          <w:sz w:val="22"/>
          <w:szCs w:val="22"/>
        </w:rPr>
        <w:t>o 2025</w:t>
      </w:r>
      <w:r w:rsidRPr="001A4116">
        <w:rPr>
          <w:rFonts w:ascii="Rubik" w:hAnsi="Rubik" w:cs="Rubik" w:hint="cs"/>
          <w:sz w:val="22"/>
          <w:szCs w:val="22"/>
        </w:rPr>
        <w:t xml:space="preserve"> – L’Università degli studi di Bergamo apre le selezioni per l’ammissione ai corsi di Dottorato di ricerca del XLI ciclo. Sono </w:t>
      </w:r>
      <w:r w:rsidRPr="001A4116">
        <w:rPr>
          <w:rFonts w:ascii="Rubik" w:hAnsi="Rubik" w:cs="Rubik" w:hint="cs"/>
          <w:b/>
          <w:bCs/>
          <w:sz w:val="22"/>
          <w:szCs w:val="22"/>
        </w:rPr>
        <w:t>69 i posti complessivi messi a bando</w:t>
      </w:r>
      <w:r w:rsidRPr="001A4116">
        <w:rPr>
          <w:rFonts w:ascii="Rubik" w:hAnsi="Rubik" w:cs="Rubik" w:hint="cs"/>
          <w:sz w:val="22"/>
          <w:szCs w:val="22"/>
        </w:rPr>
        <w:t xml:space="preserve"> (di cui </w:t>
      </w:r>
      <w:r w:rsidRPr="001A4116">
        <w:rPr>
          <w:rFonts w:ascii="Rubik" w:hAnsi="Rubik" w:cs="Rubik" w:hint="cs"/>
          <w:b/>
          <w:bCs/>
          <w:sz w:val="22"/>
          <w:szCs w:val="22"/>
        </w:rPr>
        <w:t>56 con borsa</w:t>
      </w:r>
      <w:r w:rsidRPr="001A4116">
        <w:rPr>
          <w:rFonts w:ascii="Rubik" w:hAnsi="Rubik" w:cs="Rubik" w:hint="cs"/>
          <w:sz w:val="22"/>
          <w:szCs w:val="22"/>
        </w:rPr>
        <w:t xml:space="preserve">), articolati in </w:t>
      </w:r>
      <w:r w:rsidRPr="001A4116">
        <w:rPr>
          <w:rFonts w:ascii="Rubik" w:hAnsi="Rubik" w:cs="Rubik" w:hint="cs"/>
          <w:b/>
          <w:bCs/>
          <w:sz w:val="22"/>
          <w:szCs w:val="22"/>
        </w:rPr>
        <w:t>11 corsi</w:t>
      </w:r>
      <w:r w:rsidRPr="001A4116">
        <w:rPr>
          <w:rFonts w:ascii="Rubik" w:hAnsi="Rubik" w:cs="Rubik" w:hint="cs"/>
          <w:sz w:val="22"/>
          <w:szCs w:val="22"/>
        </w:rPr>
        <w:t xml:space="preserve">, con inizio delle attività previsto per il </w:t>
      </w:r>
      <w:r w:rsidRPr="001A4116">
        <w:rPr>
          <w:rFonts w:ascii="Rubik" w:hAnsi="Rubik" w:cs="Rubik" w:hint="cs"/>
          <w:b/>
          <w:bCs/>
          <w:sz w:val="22"/>
          <w:szCs w:val="22"/>
        </w:rPr>
        <w:t>1° novembre 2025</w:t>
      </w:r>
      <w:r w:rsidRPr="001A4116">
        <w:rPr>
          <w:rFonts w:ascii="Rubik" w:hAnsi="Rubik" w:cs="Rubik" w:hint="cs"/>
          <w:sz w:val="22"/>
          <w:szCs w:val="22"/>
        </w:rPr>
        <w:t xml:space="preserve">. Il termine per presentare domanda è fissato al </w:t>
      </w:r>
      <w:r w:rsidRPr="001A4116">
        <w:rPr>
          <w:rFonts w:ascii="Rubik" w:hAnsi="Rubik" w:cs="Rubik" w:hint="cs"/>
          <w:b/>
          <w:bCs/>
          <w:sz w:val="22"/>
          <w:szCs w:val="22"/>
        </w:rPr>
        <w:t>16 giugno 2025</w:t>
      </w:r>
      <w:r w:rsidRPr="001A4116">
        <w:rPr>
          <w:rFonts w:ascii="Rubik" w:hAnsi="Rubik" w:cs="Rubik" w:hint="cs"/>
          <w:sz w:val="22"/>
          <w:szCs w:val="22"/>
        </w:rPr>
        <w:t xml:space="preserve"> alle ore 11:59 (ora italiana).</w:t>
      </w:r>
    </w:p>
    <w:p w14:paraId="719BA14E" w14:textId="77777777" w:rsidR="0071289F" w:rsidRPr="001A4116" w:rsidRDefault="0071289F" w:rsidP="0071289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2E196205" w14:textId="0B9CD205" w:rsidR="00076823" w:rsidRPr="001A4116" w:rsidRDefault="00076823" w:rsidP="0007682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1A4116">
        <w:rPr>
          <w:rFonts w:ascii="Rubik" w:hAnsi="Rubik" w:cs="Rubik" w:hint="cs"/>
          <w:sz w:val="22"/>
          <w:szCs w:val="22"/>
        </w:rPr>
        <w:t>I corsi spaziano dall’</w:t>
      </w:r>
      <w:r w:rsidRPr="001A4116">
        <w:rPr>
          <w:rFonts w:ascii="Rubik" w:hAnsi="Rubik" w:cs="Rubik" w:hint="cs"/>
          <w:b/>
          <w:bCs/>
          <w:sz w:val="22"/>
          <w:szCs w:val="22"/>
        </w:rPr>
        <w:t xml:space="preserve">intelligenza artificiale </w:t>
      </w:r>
      <w:r w:rsidRPr="001A4116">
        <w:rPr>
          <w:rFonts w:ascii="Rubik" w:hAnsi="Rubik" w:cs="Rubik" w:hint="cs"/>
          <w:sz w:val="22"/>
          <w:szCs w:val="22"/>
        </w:rPr>
        <w:t xml:space="preserve">alla </w:t>
      </w:r>
      <w:r w:rsidRPr="001A4116">
        <w:rPr>
          <w:rFonts w:ascii="Rubik" w:hAnsi="Rubik" w:cs="Rubik" w:hint="cs"/>
          <w:b/>
          <w:bCs/>
          <w:sz w:val="22"/>
          <w:szCs w:val="22"/>
        </w:rPr>
        <w:t>salute e longevità</w:t>
      </w:r>
      <w:r w:rsidRPr="001A4116">
        <w:rPr>
          <w:rFonts w:ascii="Rubik" w:hAnsi="Rubik" w:cs="Rubik" w:hint="cs"/>
          <w:sz w:val="22"/>
          <w:szCs w:val="22"/>
        </w:rPr>
        <w:t xml:space="preserve">, dal </w:t>
      </w:r>
      <w:r w:rsidRPr="001A4116">
        <w:rPr>
          <w:rFonts w:ascii="Rubik" w:hAnsi="Rubik" w:cs="Rubik" w:hint="cs"/>
          <w:b/>
          <w:bCs/>
          <w:sz w:val="22"/>
          <w:szCs w:val="22"/>
        </w:rPr>
        <w:t>diritto e management</w:t>
      </w:r>
      <w:r w:rsidRPr="001A4116">
        <w:rPr>
          <w:rFonts w:ascii="Rubik" w:hAnsi="Rubik" w:cs="Rubik" w:hint="cs"/>
          <w:sz w:val="22"/>
          <w:szCs w:val="22"/>
        </w:rPr>
        <w:t xml:space="preserve"> alla </w:t>
      </w:r>
      <w:r w:rsidRPr="001A4116">
        <w:rPr>
          <w:rFonts w:ascii="Rubik" w:hAnsi="Rubik" w:cs="Rubik" w:hint="cs"/>
          <w:b/>
          <w:bCs/>
          <w:sz w:val="22"/>
          <w:szCs w:val="22"/>
        </w:rPr>
        <w:t>linguistica</w:t>
      </w:r>
      <w:r w:rsidRPr="001A4116">
        <w:rPr>
          <w:rFonts w:ascii="Rubik" w:hAnsi="Rubik" w:cs="Rubik" w:hint="cs"/>
          <w:sz w:val="22"/>
          <w:szCs w:val="22"/>
        </w:rPr>
        <w:t xml:space="preserve"> e agli </w:t>
      </w:r>
      <w:r w:rsidRPr="001A4116">
        <w:rPr>
          <w:rFonts w:ascii="Rubik" w:hAnsi="Rubik" w:cs="Rubik" w:hint="cs"/>
          <w:b/>
          <w:bCs/>
          <w:sz w:val="22"/>
          <w:szCs w:val="22"/>
        </w:rPr>
        <w:t>studi transculturali</w:t>
      </w:r>
      <w:r w:rsidRPr="001A4116">
        <w:rPr>
          <w:rFonts w:ascii="Rubik" w:hAnsi="Rubik" w:cs="Rubik" w:hint="cs"/>
          <w:sz w:val="22"/>
          <w:szCs w:val="22"/>
        </w:rPr>
        <w:t>, fino all’</w:t>
      </w:r>
      <w:r w:rsidRPr="001A4116">
        <w:rPr>
          <w:rFonts w:ascii="Rubik" w:hAnsi="Rubik" w:cs="Rubik" w:hint="cs"/>
          <w:b/>
          <w:bCs/>
          <w:sz w:val="22"/>
          <w:szCs w:val="22"/>
        </w:rPr>
        <w:t>ingegneria sostenibile</w:t>
      </w:r>
      <w:r w:rsidRPr="001A4116">
        <w:rPr>
          <w:rFonts w:ascii="Rubik" w:hAnsi="Rubik" w:cs="Rubik" w:hint="cs"/>
          <w:sz w:val="22"/>
          <w:szCs w:val="22"/>
        </w:rPr>
        <w:t xml:space="preserve">. Due le novità del XLI ciclo, che arricchiscono ulteriormente l’offerta formativa e di ricerca dell’Ateneo: il dottorato in </w:t>
      </w:r>
      <w:r w:rsidRPr="001A4116">
        <w:rPr>
          <w:rFonts w:ascii="Rubik" w:hAnsi="Rubik" w:cs="Rubik" w:hint="cs"/>
          <w:b/>
          <w:bCs/>
          <w:i/>
          <w:iCs/>
          <w:sz w:val="22"/>
          <w:szCs w:val="22"/>
        </w:rPr>
        <w:t>Artificial Intelligence for Sustainable Futures</w:t>
      </w:r>
      <w:r w:rsidRPr="001A4116">
        <w:rPr>
          <w:rFonts w:ascii="Rubik" w:hAnsi="Rubik" w:cs="Rubik" w:hint="cs"/>
          <w:sz w:val="22"/>
          <w:szCs w:val="22"/>
        </w:rPr>
        <w:t xml:space="preserve">, </w:t>
      </w:r>
      <w:r w:rsidR="00D83387" w:rsidRPr="001A4116">
        <w:rPr>
          <w:rFonts w:ascii="Rubik" w:hAnsi="Rubik" w:cs="Rubik" w:hint="cs"/>
          <w:sz w:val="22"/>
          <w:szCs w:val="22"/>
        </w:rPr>
        <w:t>percorso innovativo interdisciplinare e internazionale, che consente l’acquisizione di competenze teoriche, tecniche e modelli operativi per affrontare le sfide associate alle applicazioni etiche e sostenibili dell’intelligenza artificiale in diversi settori</w:t>
      </w:r>
      <w:r w:rsidRPr="001A4116">
        <w:rPr>
          <w:rFonts w:ascii="Rubik" w:hAnsi="Rubik" w:cs="Rubik" w:hint="cs"/>
          <w:sz w:val="22"/>
          <w:szCs w:val="22"/>
        </w:rPr>
        <w:t xml:space="preserve">; e il dottorato in </w:t>
      </w:r>
      <w:r w:rsidRPr="001A4116">
        <w:rPr>
          <w:rFonts w:ascii="Rubik" w:hAnsi="Rubik" w:cs="Rubik" w:hint="cs"/>
          <w:b/>
          <w:bCs/>
          <w:i/>
          <w:iCs/>
          <w:sz w:val="22"/>
          <w:szCs w:val="22"/>
        </w:rPr>
        <w:t>Scienze Umane e Sociali</w:t>
      </w:r>
      <w:r w:rsidRPr="001A4116">
        <w:rPr>
          <w:rFonts w:ascii="Rubik" w:hAnsi="Rubik" w:cs="Rubik" w:hint="cs"/>
          <w:sz w:val="22"/>
          <w:szCs w:val="22"/>
        </w:rPr>
        <w:t xml:space="preserve">, che adotta approcci inter-, multi- e trans-disciplinari per formare figure competitive sul mercato del lavoro, sia accademico che professionale, nazionale e internazionale, capaci di comprendere i fenomeni contemporanei nell’ottica della generatività del benessere psicosociale, della didattica e formazione nelle scienze umane e sociali, tenendo conto delle radici e delle trasformazioni culturali. La lista completa è disponibile sul sito d’Ateneo, al link </w:t>
      </w:r>
      <w:hyperlink r:id="rId9" w:history="1">
        <w:r w:rsidRPr="001A4116">
          <w:rPr>
            <w:rStyle w:val="Collegamentoipertestuale"/>
            <w:rFonts w:ascii="Rubik" w:hAnsi="Rubik" w:cs="Rubik" w:hint="cs"/>
            <w:sz w:val="22"/>
            <w:szCs w:val="22"/>
          </w:rPr>
          <w:t>www.unibg.it/node/17774</w:t>
        </w:r>
      </w:hyperlink>
      <w:r w:rsidRPr="001A4116">
        <w:rPr>
          <w:rFonts w:ascii="Rubik" w:hAnsi="Rubik" w:cs="Rubik" w:hint="cs"/>
          <w:sz w:val="22"/>
          <w:szCs w:val="22"/>
        </w:rPr>
        <w:t>, dove sono riportate anche le specifiche relative ai singoli posti, alle borse e ai requisiti di ammissione.</w:t>
      </w:r>
    </w:p>
    <w:p w14:paraId="53596F1F" w14:textId="77777777" w:rsidR="0071289F" w:rsidRPr="001A4116" w:rsidRDefault="0071289F" w:rsidP="0071289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4360AC09" w14:textId="5BB04DA5" w:rsidR="000D5A3C" w:rsidRPr="001A4116" w:rsidRDefault="000D5A3C" w:rsidP="0071289F">
      <w:pPr>
        <w:pStyle w:val="NormaleWeb"/>
        <w:spacing w:before="0" w:beforeAutospacing="0" w:after="0" w:afterAutospacing="0"/>
        <w:jc w:val="both"/>
        <w:rPr>
          <w:rFonts w:ascii="Rubik" w:hAnsi="Rubik" w:cs="Rubik"/>
          <w:i/>
          <w:iCs/>
          <w:sz w:val="22"/>
          <w:szCs w:val="22"/>
        </w:rPr>
      </w:pPr>
      <w:r w:rsidRPr="001A4116">
        <w:rPr>
          <w:rFonts w:ascii="Rubik" w:hAnsi="Rubik" w:cs="Rubik" w:hint="cs"/>
          <w:i/>
          <w:iCs/>
          <w:sz w:val="22"/>
          <w:szCs w:val="22"/>
        </w:rPr>
        <w:t xml:space="preserve">«I corsi di dottorato </w:t>
      </w:r>
      <w:r w:rsidR="00D83387" w:rsidRPr="001A4116">
        <w:rPr>
          <w:rFonts w:ascii="Rubik" w:hAnsi="Rubik" w:cs="Rubik" w:hint="cs"/>
          <w:i/>
          <w:iCs/>
          <w:sz w:val="22"/>
          <w:szCs w:val="22"/>
        </w:rPr>
        <w:t>di UniBg</w:t>
      </w:r>
      <w:r w:rsidR="00D83387" w:rsidRPr="001A4116">
        <w:rPr>
          <w:rFonts w:ascii="Rubik" w:hAnsi="Rubik" w:cs="Rubik" w:hint="cs"/>
          <w:sz w:val="22"/>
          <w:szCs w:val="22"/>
        </w:rPr>
        <w:t xml:space="preserve"> </w:t>
      </w:r>
      <w:r w:rsidRPr="001A4116">
        <w:rPr>
          <w:rFonts w:ascii="Rubik" w:hAnsi="Rubik" w:cs="Rubik" w:hint="cs"/>
          <w:sz w:val="22"/>
          <w:szCs w:val="22"/>
        </w:rPr>
        <w:t xml:space="preserve">– sottolinea </w:t>
      </w:r>
      <w:r w:rsidRPr="001A4116">
        <w:rPr>
          <w:rFonts w:ascii="Rubik" w:hAnsi="Rubik" w:cs="Rubik" w:hint="cs"/>
          <w:b/>
          <w:bCs/>
          <w:sz w:val="22"/>
          <w:szCs w:val="22"/>
        </w:rPr>
        <w:t>Mariafrancesca Sicilia</w:t>
      </w:r>
      <w:r w:rsidRPr="001A4116">
        <w:rPr>
          <w:rFonts w:ascii="Rubik" w:hAnsi="Rubik" w:cs="Rubik" w:hint="cs"/>
          <w:sz w:val="22"/>
          <w:szCs w:val="22"/>
        </w:rPr>
        <w:t xml:space="preserve">, Prorettrice alla Ricerca scientifica – </w:t>
      </w:r>
      <w:r w:rsidRPr="001A4116">
        <w:rPr>
          <w:rFonts w:ascii="Rubik" w:hAnsi="Rubik" w:cs="Rubik" w:hint="cs"/>
          <w:i/>
          <w:iCs/>
          <w:sz w:val="22"/>
          <w:szCs w:val="22"/>
        </w:rPr>
        <w:t xml:space="preserve">sono caratterizzati da un’impostazione innovativa, interdisciplinare e con una forte proiezione internazionale. </w:t>
      </w:r>
      <w:r w:rsidR="00D83387" w:rsidRPr="001A4116">
        <w:rPr>
          <w:rFonts w:ascii="Rubik" w:hAnsi="Rubik" w:cs="Rubik" w:hint="cs"/>
          <w:i/>
          <w:iCs/>
          <w:sz w:val="22"/>
          <w:szCs w:val="22"/>
        </w:rPr>
        <w:t xml:space="preserve">Si inseriscono in un contesto </w:t>
      </w:r>
      <w:r w:rsidRPr="001A4116">
        <w:rPr>
          <w:rFonts w:ascii="Rubik" w:hAnsi="Rubik" w:cs="Rubik" w:hint="cs"/>
          <w:i/>
          <w:iCs/>
          <w:sz w:val="22"/>
          <w:szCs w:val="22"/>
        </w:rPr>
        <w:t xml:space="preserve">di ricerca dinamico e stimolante, arricchito da collaborazioni con enti pubblici e imprese innovative, partnership con università e centri di ricerca di tutto il mondo, programmi di mobilità internazionale e un’ampia rete di servizi e strutture a supporto della ricerca. </w:t>
      </w:r>
      <w:r w:rsidR="00D83387" w:rsidRPr="001A4116">
        <w:rPr>
          <w:rFonts w:ascii="Rubik" w:hAnsi="Rubik" w:cs="Rubik" w:hint="cs"/>
          <w:i/>
          <w:iCs/>
          <w:sz w:val="22"/>
          <w:szCs w:val="22"/>
        </w:rPr>
        <w:t>I nostri</w:t>
      </w:r>
      <w:r w:rsidRPr="001A4116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="00D83387" w:rsidRPr="001A4116">
        <w:rPr>
          <w:rFonts w:ascii="Rubik" w:hAnsi="Rubik" w:cs="Rubik" w:hint="cs"/>
          <w:i/>
          <w:iCs/>
          <w:sz w:val="22"/>
          <w:szCs w:val="22"/>
        </w:rPr>
        <w:t>prog</w:t>
      </w:r>
      <w:r w:rsidR="00B13923">
        <w:rPr>
          <w:rFonts w:ascii="Rubik" w:hAnsi="Rubik" w:cs="Rubik"/>
          <w:i/>
          <w:iCs/>
          <w:sz w:val="22"/>
          <w:szCs w:val="22"/>
        </w:rPr>
        <w:t>r</w:t>
      </w:r>
      <w:r w:rsidR="00D83387" w:rsidRPr="001A4116">
        <w:rPr>
          <w:rFonts w:ascii="Rubik" w:hAnsi="Rubik" w:cs="Rubik" w:hint="cs"/>
          <w:i/>
          <w:iCs/>
          <w:sz w:val="22"/>
          <w:szCs w:val="22"/>
        </w:rPr>
        <w:t>ammi</w:t>
      </w:r>
      <w:r w:rsidRPr="001A4116">
        <w:rPr>
          <w:rFonts w:ascii="Rubik" w:hAnsi="Rubik" w:cs="Rubik" w:hint="cs"/>
          <w:i/>
          <w:iCs/>
          <w:sz w:val="22"/>
          <w:szCs w:val="22"/>
        </w:rPr>
        <w:t xml:space="preserve"> forniscono le competenze, l’approccio critico e le connessioni necessarie per condurre ricerche di alta qualità e ad alto i</w:t>
      </w:r>
      <w:r w:rsidR="00D83387" w:rsidRPr="001A4116">
        <w:rPr>
          <w:rFonts w:ascii="Rubik" w:hAnsi="Rubik" w:cs="Rubik" w:hint="cs"/>
          <w:i/>
          <w:iCs/>
          <w:sz w:val="22"/>
          <w:szCs w:val="22"/>
        </w:rPr>
        <w:t>m</w:t>
      </w:r>
      <w:r w:rsidRPr="001A4116">
        <w:rPr>
          <w:rFonts w:ascii="Rubik" w:hAnsi="Rubik" w:cs="Rubik" w:hint="cs"/>
          <w:i/>
          <w:iCs/>
          <w:sz w:val="22"/>
          <w:szCs w:val="22"/>
        </w:rPr>
        <w:t xml:space="preserve">patto, </w:t>
      </w:r>
      <w:r w:rsidR="00D83387" w:rsidRPr="001A4116">
        <w:rPr>
          <w:rFonts w:ascii="Rubik" w:hAnsi="Rubik" w:cs="Rubik" w:hint="cs"/>
          <w:i/>
          <w:iCs/>
          <w:sz w:val="22"/>
          <w:szCs w:val="22"/>
        </w:rPr>
        <w:t>in grado</w:t>
      </w:r>
      <w:r w:rsidRPr="001A4116">
        <w:rPr>
          <w:rFonts w:ascii="Rubik" w:hAnsi="Rubik" w:cs="Rubik" w:hint="cs"/>
          <w:i/>
          <w:iCs/>
          <w:sz w:val="22"/>
          <w:szCs w:val="22"/>
        </w:rPr>
        <w:t xml:space="preserve"> di contribuire ad affrontare le sfide del presente e del futuro».</w:t>
      </w:r>
    </w:p>
    <w:p w14:paraId="7FD3B201" w14:textId="77777777" w:rsidR="0071289F" w:rsidRPr="001A4116" w:rsidRDefault="0071289F" w:rsidP="0071289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101E67C9" w14:textId="1CA61EFF" w:rsidR="00424D5F" w:rsidRPr="001A4116" w:rsidRDefault="0071289F" w:rsidP="0071289F">
      <w:pPr>
        <w:pStyle w:val="NormaleWeb"/>
        <w:spacing w:before="0" w:beforeAutospacing="0" w:after="0" w:afterAutospacing="0"/>
        <w:jc w:val="both"/>
        <w:rPr>
          <w:rFonts w:ascii="Rubik" w:hAnsi="Rubik" w:cs="Rubik"/>
        </w:rPr>
      </w:pPr>
      <w:r w:rsidRPr="001A4116">
        <w:rPr>
          <w:rFonts w:ascii="Rubik" w:hAnsi="Rubik" w:cs="Rubik" w:hint="cs"/>
          <w:sz w:val="22"/>
          <w:szCs w:val="22"/>
        </w:rPr>
        <w:t>Il bando prevede una selezione pubblica per titoli e colloquio. Possono partecipare laureati italiani e stranieri in possesso di laurea magistrale o titolo equivalente.</w:t>
      </w:r>
      <w:r w:rsidR="009F743B" w:rsidRPr="001A4116">
        <w:rPr>
          <w:rFonts w:ascii="Rubik" w:hAnsi="Rubik" w:cs="Rubik" w:hint="cs"/>
          <w:sz w:val="22"/>
          <w:szCs w:val="22"/>
        </w:rPr>
        <w:t xml:space="preserve"> </w:t>
      </w:r>
      <w:r w:rsidRPr="001A4116">
        <w:rPr>
          <w:rFonts w:ascii="Rubik" w:hAnsi="Rubik" w:cs="Rubik" w:hint="cs"/>
          <w:sz w:val="22"/>
          <w:szCs w:val="22"/>
        </w:rPr>
        <w:t xml:space="preserve">Per informazioni e modalità di candidatura: </w:t>
      </w:r>
      <w:hyperlink r:id="rId10" w:tgtFrame="_new" w:history="1">
        <w:r w:rsidRPr="001A4116">
          <w:rPr>
            <w:rStyle w:val="Collegamentoipertestuale"/>
            <w:rFonts w:ascii="Rubik" w:hAnsi="Rubik" w:cs="Rubik" w:hint="cs"/>
            <w:sz w:val="22"/>
            <w:szCs w:val="22"/>
          </w:rPr>
          <w:t>www.unibg.it/node/17774</w:t>
        </w:r>
      </w:hyperlink>
    </w:p>
    <w:p w14:paraId="55D0227C" w14:textId="77777777" w:rsidR="00223F96" w:rsidRDefault="00223F96" w:rsidP="0071289F">
      <w:pPr>
        <w:pStyle w:val="NormaleWeb"/>
        <w:spacing w:before="0" w:beforeAutospacing="0" w:after="0" w:afterAutospacing="0"/>
        <w:jc w:val="both"/>
      </w:pPr>
    </w:p>
    <w:p w14:paraId="0821D640" w14:textId="77777777" w:rsidR="00223F96" w:rsidRDefault="00223F96" w:rsidP="0071289F">
      <w:pPr>
        <w:pStyle w:val="NormaleWeb"/>
        <w:spacing w:before="0" w:beforeAutospacing="0" w:after="0" w:afterAutospacing="0"/>
        <w:jc w:val="both"/>
      </w:pPr>
    </w:p>
    <w:p w14:paraId="777F9472" w14:textId="478A8DAE" w:rsidR="00223F96" w:rsidRPr="009F743B" w:rsidRDefault="00223F96" w:rsidP="0071289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sectPr w:rsidR="00223F96" w:rsidRPr="009F743B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EF888" w14:textId="77777777" w:rsidR="00537B3F" w:rsidRDefault="00537B3F">
      <w:r>
        <w:separator/>
      </w:r>
    </w:p>
  </w:endnote>
  <w:endnote w:type="continuationSeparator" w:id="0">
    <w:p w14:paraId="0D6B0603" w14:textId="77777777" w:rsidR="00537B3F" w:rsidRDefault="0053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F5D0" w14:textId="77777777" w:rsidR="00537B3F" w:rsidRDefault="00537B3F">
      <w:r>
        <w:separator/>
      </w:r>
    </w:p>
  </w:footnote>
  <w:footnote w:type="continuationSeparator" w:id="0">
    <w:p w14:paraId="09037BF7" w14:textId="77777777" w:rsidR="00537B3F" w:rsidRDefault="0053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7B3F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537B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7B3F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8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9"/>
  </w:num>
  <w:num w:numId="7" w16cid:durableId="1124348056">
    <w:abstractNumId w:val="11"/>
  </w:num>
  <w:num w:numId="8" w16cid:durableId="1413967830">
    <w:abstractNumId w:val="2"/>
  </w:num>
  <w:num w:numId="9" w16cid:durableId="404450204">
    <w:abstractNumId w:val="15"/>
  </w:num>
  <w:num w:numId="10" w16cid:durableId="171455521">
    <w:abstractNumId w:val="16"/>
  </w:num>
  <w:num w:numId="11" w16cid:durableId="1982074400">
    <w:abstractNumId w:val="13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4"/>
  </w:num>
  <w:num w:numId="15" w16cid:durableId="183835068">
    <w:abstractNumId w:val="17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F06"/>
    <w:rsid w:val="000434F5"/>
    <w:rsid w:val="0004644E"/>
    <w:rsid w:val="00076823"/>
    <w:rsid w:val="00094222"/>
    <w:rsid w:val="00095626"/>
    <w:rsid w:val="000A5632"/>
    <w:rsid w:val="000D12C0"/>
    <w:rsid w:val="000D4AC0"/>
    <w:rsid w:val="000D5A3C"/>
    <w:rsid w:val="000D6C04"/>
    <w:rsid w:val="000F3924"/>
    <w:rsid w:val="001016BE"/>
    <w:rsid w:val="00102624"/>
    <w:rsid w:val="00103B96"/>
    <w:rsid w:val="0012098F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A3A45"/>
    <w:rsid w:val="001A4116"/>
    <w:rsid w:val="001C3D94"/>
    <w:rsid w:val="001D666A"/>
    <w:rsid w:val="001D6C55"/>
    <w:rsid w:val="00207010"/>
    <w:rsid w:val="00223F96"/>
    <w:rsid w:val="002266D1"/>
    <w:rsid w:val="00245167"/>
    <w:rsid w:val="0025485F"/>
    <w:rsid w:val="00256742"/>
    <w:rsid w:val="00261058"/>
    <w:rsid w:val="002640B0"/>
    <w:rsid w:val="00267ABD"/>
    <w:rsid w:val="00271373"/>
    <w:rsid w:val="00271BE8"/>
    <w:rsid w:val="0027512F"/>
    <w:rsid w:val="002805DB"/>
    <w:rsid w:val="00284CA6"/>
    <w:rsid w:val="002A7937"/>
    <w:rsid w:val="002D0697"/>
    <w:rsid w:val="002E3E77"/>
    <w:rsid w:val="002E4361"/>
    <w:rsid w:val="002E4DA9"/>
    <w:rsid w:val="002F1308"/>
    <w:rsid w:val="002F2E08"/>
    <w:rsid w:val="002F2EFF"/>
    <w:rsid w:val="00311E5A"/>
    <w:rsid w:val="00317B14"/>
    <w:rsid w:val="003243D6"/>
    <w:rsid w:val="00334242"/>
    <w:rsid w:val="00350D91"/>
    <w:rsid w:val="003605F2"/>
    <w:rsid w:val="003822A4"/>
    <w:rsid w:val="00393E25"/>
    <w:rsid w:val="003A19A4"/>
    <w:rsid w:val="003C7E36"/>
    <w:rsid w:val="003F4AC0"/>
    <w:rsid w:val="00404C79"/>
    <w:rsid w:val="00412268"/>
    <w:rsid w:val="00414613"/>
    <w:rsid w:val="00424D5F"/>
    <w:rsid w:val="00426E6A"/>
    <w:rsid w:val="00447474"/>
    <w:rsid w:val="00491F41"/>
    <w:rsid w:val="004A5C2E"/>
    <w:rsid w:val="004B3326"/>
    <w:rsid w:val="004B36FC"/>
    <w:rsid w:val="004C10B9"/>
    <w:rsid w:val="004C3806"/>
    <w:rsid w:val="004C7DBE"/>
    <w:rsid w:val="004E1E80"/>
    <w:rsid w:val="004E7E4D"/>
    <w:rsid w:val="004F1235"/>
    <w:rsid w:val="004F485D"/>
    <w:rsid w:val="0051455E"/>
    <w:rsid w:val="0052417B"/>
    <w:rsid w:val="00530BD7"/>
    <w:rsid w:val="00537B3F"/>
    <w:rsid w:val="00575179"/>
    <w:rsid w:val="005762C2"/>
    <w:rsid w:val="0058734C"/>
    <w:rsid w:val="005A1B54"/>
    <w:rsid w:val="005B42D2"/>
    <w:rsid w:val="005E08BF"/>
    <w:rsid w:val="006048D4"/>
    <w:rsid w:val="00643C3F"/>
    <w:rsid w:val="006570EE"/>
    <w:rsid w:val="006C1C00"/>
    <w:rsid w:val="006C372E"/>
    <w:rsid w:val="006C58F4"/>
    <w:rsid w:val="006F4D9F"/>
    <w:rsid w:val="0071289F"/>
    <w:rsid w:val="007135A3"/>
    <w:rsid w:val="007247DB"/>
    <w:rsid w:val="00726E06"/>
    <w:rsid w:val="00734E3E"/>
    <w:rsid w:val="00737D94"/>
    <w:rsid w:val="007542A1"/>
    <w:rsid w:val="00785440"/>
    <w:rsid w:val="007917F4"/>
    <w:rsid w:val="007A66F7"/>
    <w:rsid w:val="007A6D90"/>
    <w:rsid w:val="007C19B3"/>
    <w:rsid w:val="007C29C7"/>
    <w:rsid w:val="007E5E05"/>
    <w:rsid w:val="007F2F89"/>
    <w:rsid w:val="007F4361"/>
    <w:rsid w:val="00801F4E"/>
    <w:rsid w:val="00806658"/>
    <w:rsid w:val="00820185"/>
    <w:rsid w:val="008231F1"/>
    <w:rsid w:val="00823808"/>
    <w:rsid w:val="00833F4A"/>
    <w:rsid w:val="008540E7"/>
    <w:rsid w:val="00857C7B"/>
    <w:rsid w:val="008953A3"/>
    <w:rsid w:val="008964D8"/>
    <w:rsid w:val="008C2DE6"/>
    <w:rsid w:val="008E76CB"/>
    <w:rsid w:val="009115F4"/>
    <w:rsid w:val="00923C67"/>
    <w:rsid w:val="00934173"/>
    <w:rsid w:val="00943013"/>
    <w:rsid w:val="00953D7B"/>
    <w:rsid w:val="0095762E"/>
    <w:rsid w:val="009645E4"/>
    <w:rsid w:val="00987196"/>
    <w:rsid w:val="009A4C79"/>
    <w:rsid w:val="009B0F7B"/>
    <w:rsid w:val="009C2DF4"/>
    <w:rsid w:val="009D536F"/>
    <w:rsid w:val="009E511D"/>
    <w:rsid w:val="009E79E9"/>
    <w:rsid w:val="009F5BC3"/>
    <w:rsid w:val="009F743B"/>
    <w:rsid w:val="00A025A6"/>
    <w:rsid w:val="00A04FB3"/>
    <w:rsid w:val="00A23A14"/>
    <w:rsid w:val="00A61283"/>
    <w:rsid w:val="00A62098"/>
    <w:rsid w:val="00A76F51"/>
    <w:rsid w:val="00A95869"/>
    <w:rsid w:val="00AA1DBF"/>
    <w:rsid w:val="00AC4C9E"/>
    <w:rsid w:val="00AE4AC8"/>
    <w:rsid w:val="00AE7772"/>
    <w:rsid w:val="00B11117"/>
    <w:rsid w:val="00B13923"/>
    <w:rsid w:val="00B15084"/>
    <w:rsid w:val="00B24BFD"/>
    <w:rsid w:val="00B303AF"/>
    <w:rsid w:val="00B54D30"/>
    <w:rsid w:val="00B624E0"/>
    <w:rsid w:val="00B63511"/>
    <w:rsid w:val="00B8103A"/>
    <w:rsid w:val="00B95EEE"/>
    <w:rsid w:val="00BC09E8"/>
    <w:rsid w:val="00BC42D5"/>
    <w:rsid w:val="00BC7A7D"/>
    <w:rsid w:val="00C02775"/>
    <w:rsid w:val="00C23F79"/>
    <w:rsid w:val="00C30B28"/>
    <w:rsid w:val="00C43326"/>
    <w:rsid w:val="00C740AF"/>
    <w:rsid w:val="00CA257E"/>
    <w:rsid w:val="00D0195F"/>
    <w:rsid w:val="00D126B7"/>
    <w:rsid w:val="00D249F2"/>
    <w:rsid w:val="00D269AB"/>
    <w:rsid w:val="00D34401"/>
    <w:rsid w:val="00D83387"/>
    <w:rsid w:val="00DA2017"/>
    <w:rsid w:val="00DC13C9"/>
    <w:rsid w:val="00DC5AD5"/>
    <w:rsid w:val="00DC6FC9"/>
    <w:rsid w:val="00E06571"/>
    <w:rsid w:val="00E12F07"/>
    <w:rsid w:val="00E138A5"/>
    <w:rsid w:val="00E233BF"/>
    <w:rsid w:val="00E24970"/>
    <w:rsid w:val="00E31F8B"/>
    <w:rsid w:val="00E35BD8"/>
    <w:rsid w:val="00E37A21"/>
    <w:rsid w:val="00E51A65"/>
    <w:rsid w:val="00E9359C"/>
    <w:rsid w:val="00E97B2F"/>
    <w:rsid w:val="00ED4A9B"/>
    <w:rsid w:val="00EF2C8D"/>
    <w:rsid w:val="00F02708"/>
    <w:rsid w:val="00F03125"/>
    <w:rsid w:val="00F050DF"/>
    <w:rsid w:val="00F128D4"/>
    <w:rsid w:val="00F140C5"/>
    <w:rsid w:val="00F2596C"/>
    <w:rsid w:val="00F35462"/>
    <w:rsid w:val="00F35800"/>
    <w:rsid w:val="00F45205"/>
    <w:rsid w:val="00F47F11"/>
    <w:rsid w:val="00F549A4"/>
    <w:rsid w:val="00F65783"/>
    <w:rsid w:val="00F805FF"/>
    <w:rsid w:val="00F9680F"/>
    <w:rsid w:val="00FA38B4"/>
    <w:rsid w:val="00FD4E9C"/>
    <w:rsid w:val="00FE5789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paragraph" w:customStyle="1" w:styleId="p1">
    <w:name w:val="p1"/>
    <w:basedOn w:val="Normale"/>
    <w:rsid w:val="00223F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bg.it/node/17774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nibg.it/node/17774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8</cp:revision>
  <dcterms:created xsi:type="dcterms:W3CDTF">2025-05-30T18:09:00Z</dcterms:created>
  <dcterms:modified xsi:type="dcterms:W3CDTF">2025-06-03T08:59:00Z</dcterms:modified>
</cp:coreProperties>
</file>