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86AB" w14:textId="14180EF0" w:rsidR="001005DA" w:rsidRPr="000268E4" w:rsidRDefault="006E6E0D" w:rsidP="006E6E0D">
      <w:pPr>
        <w:jc w:val="center"/>
        <w:rPr>
          <w:rFonts w:ascii="Rubik" w:hAnsi="Rubik" w:cs="Rubik"/>
          <w:u w:val="single"/>
        </w:rPr>
      </w:pPr>
      <w:r w:rsidRPr="000268E4">
        <w:rPr>
          <w:rFonts w:ascii="Rubik" w:hAnsi="Rubik" w:cs="Rubik"/>
          <w:u w:val="single"/>
        </w:rPr>
        <w:t>Comunicato stampa</w:t>
      </w:r>
    </w:p>
    <w:p w14:paraId="475ABE3D" w14:textId="77777777" w:rsidR="006E6E0D" w:rsidRPr="006E6E0D" w:rsidRDefault="006E6E0D" w:rsidP="000268E4">
      <w:pPr>
        <w:rPr>
          <w:rFonts w:ascii="Rubik" w:hAnsi="Rubik" w:cs="Rubik"/>
          <w:sz w:val="28"/>
          <w:szCs w:val="28"/>
        </w:rPr>
      </w:pPr>
    </w:p>
    <w:p w14:paraId="4CF87781" w14:textId="04EF44E3" w:rsidR="006E6E0D" w:rsidRDefault="006E6E0D" w:rsidP="001005DA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6E6E0D">
        <w:rPr>
          <w:rFonts w:ascii="Rubik" w:hAnsi="Rubik" w:cs="Rubik" w:hint="cs"/>
          <w:b/>
          <w:bCs/>
          <w:sz w:val="28"/>
          <w:szCs w:val="28"/>
        </w:rPr>
        <w:t xml:space="preserve">UniBg: migliora l’occupazione dei laureati e cresce l’internazionalizzazione – Il confronto </w:t>
      </w:r>
      <w:r>
        <w:rPr>
          <w:rFonts w:ascii="Rubik" w:hAnsi="Rubik" w:cs="Rubik"/>
          <w:b/>
          <w:bCs/>
          <w:sz w:val="28"/>
          <w:szCs w:val="28"/>
        </w:rPr>
        <w:t>tra</w:t>
      </w:r>
      <w:r w:rsidRPr="006E6E0D">
        <w:rPr>
          <w:rFonts w:ascii="Rubik" w:hAnsi="Rubik" w:cs="Rubik" w:hint="cs"/>
          <w:b/>
          <w:bCs/>
          <w:sz w:val="28"/>
          <w:szCs w:val="28"/>
        </w:rPr>
        <w:t xml:space="preserve"> i rapporti AlmaLaurea 202</w:t>
      </w:r>
      <w:r w:rsidR="00DB3BAF">
        <w:rPr>
          <w:rFonts w:ascii="Rubik" w:hAnsi="Rubik" w:cs="Rubik"/>
          <w:b/>
          <w:bCs/>
          <w:sz w:val="28"/>
          <w:szCs w:val="28"/>
        </w:rPr>
        <w:t>5</w:t>
      </w:r>
      <w:r w:rsidRPr="006E6E0D">
        <w:rPr>
          <w:rFonts w:ascii="Rubik" w:hAnsi="Rubik" w:cs="Rubik" w:hint="cs"/>
          <w:b/>
          <w:bCs/>
          <w:sz w:val="28"/>
          <w:szCs w:val="28"/>
        </w:rPr>
        <w:t xml:space="preserve"> e 2023 conferma </w:t>
      </w:r>
      <w:proofErr w:type="gramStart"/>
      <w:r w:rsidRPr="006E6E0D">
        <w:rPr>
          <w:rFonts w:ascii="Rubik" w:hAnsi="Rubik" w:cs="Rubik" w:hint="cs"/>
          <w:b/>
          <w:bCs/>
          <w:sz w:val="28"/>
          <w:szCs w:val="28"/>
        </w:rPr>
        <w:t>il trend positivo</w:t>
      </w:r>
      <w:proofErr w:type="gramEnd"/>
    </w:p>
    <w:p w14:paraId="7EAC638F" w14:textId="77777777" w:rsidR="000268E4" w:rsidRPr="006E6E0D" w:rsidRDefault="000268E4" w:rsidP="001005DA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2978168E" w14:textId="47C5F828" w:rsidR="000268E4" w:rsidRDefault="006E6E0D" w:rsidP="000268E4">
      <w:pPr>
        <w:pStyle w:val="NormaleWeb"/>
        <w:spacing w:before="0" w:beforeAutospacing="0" w:after="0" w:afterAutospacing="0"/>
        <w:jc w:val="both"/>
        <w:rPr>
          <w:rFonts w:ascii="Rubik" w:hAnsi="Rubik" w:cs="Rubik"/>
          <w:b/>
          <w:bCs/>
          <w:sz w:val="18"/>
          <w:szCs w:val="18"/>
        </w:rPr>
      </w:pPr>
      <w:r w:rsidRPr="006E6E0D">
        <w:rPr>
          <w:rFonts w:ascii="Rubik" w:hAnsi="Rubik" w:cs="Rubik" w:hint="cs"/>
          <w:i/>
          <w:iCs/>
          <w:sz w:val="18"/>
          <w:szCs w:val="18"/>
        </w:rPr>
        <w:t>Bergamo, 10 giugno 2025 -</w:t>
      </w:r>
      <w:r w:rsidRPr="006E6E0D">
        <w:rPr>
          <w:rFonts w:ascii="Rubik" w:hAnsi="Rubik" w:cs="Rubik" w:hint="cs"/>
          <w:sz w:val="18"/>
          <w:szCs w:val="18"/>
        </w:rPr>
        <w:t xml:space="preserve"> Le evidenze rilevate dal </w:t>
      </w:r>
      <w:r w:rsidRPr="006E6E0D">
        <w:rPr>
          <w:rFonts w:ascii="Rubik" w:eastAsia="Times New Roman" w:hAnsi="Rubik" w:cs="Rubik" w:hint="cs"/>
          <w:b/>
          <w:bCs/>
          <w:sz w:val="18"/>
          <w:szCs w:val="18"/>
        </w:rPr>
        <w:t xml:space="preserve">XXVII Rapporto sul Profilo </w:t>
      </w:r>
      <w:r w:rsidR="00180F2A">
        <w:rPr>
          <w:rFonts w:ascii="Rubik" w:eastAsia="Times New Roman" w:hAnsi="Rubik" w:cs="Rubik"/>
          <w:b/>
          <w:bCs/>
          <w:sz w:val="18"/>
          <w:szCs w:val="18"/>
        </w:rPr>
        <w:t xml:space="preserve">e sulla Condizione Occupazionale </w:t>
      </w:r>
      <w:r w:rsidRPr="006E6E0D">
        <w:rPr>
          <w:rFonts w:ascii="Rubik" w:eastAsia="Times New Roman" w:hAnsi="Rubik" w:cs="Rubik" w:hint="cs"/>
          <w:b/>
          <w:bCs/>
          <w:sz w:val="18"/>
          <w:szCs w:val="18"/>
        </w:rPr>
        <w:t xml:space="preserve">dei laureati </w:t>
      </w:r>
      <w:r w:rsidRPr="006E6E0D">
        <w:rPr>
          <w:rFonts w:ascii="Rubik" w:hAnsi="Rubik" w:cs="Rubik" w:hint="cs"/>
          <w:sz w:val="18"/>
          <w:szCs w:val="18"/>
        </w:rPr>
        <w:t>d</w:t>
      </w:r>
      <w:r w:rsidR="00D408B3">
        <w:rPr>
          <w:rFonts w:ascii="Rubik" w:hAnsi="Rubik" w:cs="Rubik"/>
          <w:sz w:val="18"/>
          <w:szCs w:val="18"/>
        </w:rPr>
        <w:t>i</w:t>
      </w:r>
      <w:r w:rsidRPr="006E6E0D">
        <w:rPr>
          <w:rFonts w:ascii="Rubik" w:hAnsi="Rubik" w:cs="Rubik" w:hint="cs"/>
          <w:sz w:val="18"/>
          <w:szCs w:val="18"/>
        </w:rPr>
        <w:t xml:space="preserve"> AlmaLaurea </w:t>
      </w:r>
      <w:r w:rsidRPr="006E6E0D">
        <w:rPr>
          <w:rFonts w:ascii="Rubik" w:eastAsia="Times New Roman" w:hAnsi="Rubik" w:cs="Rubik" w:hint="cs"/>
          <w:sz w:val="18"/>
          <w:szCs w:val="18"/>
        </w:rPr>
        <w:t xml:space="preserve">2025 </w:t>
      </w:r>
      <w:hyperlink r:id="rId9" w:history="1">
        <w:r w:rsidR="00025D19" w:rsidRPr="00F17DD8">
          <w:rPr>
            <w:rStyle w:val="Collegamentoipertestuale"/>
            <w:rFonts w:ascii="Rubik" w:hAnsi="Rubik" w:cs="Rubik" w:hint="cs"/>
            <w:sz w:val="18"/>
            <w:szCs w:val="18"/>
          </w:rPr>
          <w:t>www.almalaurea.it</w:t>
        </w:r>
      </w:hyperlink>
      <w:r w:rsidR="00025D19">
        <w:rPr>
          <w:rFonts w:ascii="Rubik" w:eastAsia="Times New Roman" w:hAnsi="Rubik" w:cs="Rubik"/>
          <w:sz w:val="18"/>
          <w:szCs w:val="18"/>
        </w:rPr>
        <w:t xml:space="preserve">, che </w:t>
      </w:r>
      <w:r w:rsidRPr="006E6E0D">
        <w:rPr>
          <w:rFonts w:ascii="Rubik" w:eastAsia="Times New Roman" w:hAnsi="Rubik" w:cs="Rubik" w:hint="cs"/>
          <w:sz w:val="18"/>
          <w:szCs w:val="18"/>
        </w:rPr>
        <w:t xml:space="preserve">ha coinvolto </w:t>
      </w:r>
      <w:r w:rsidRPr="006E6E0D">
        <w:rPr>
          <w:rFonts w:ascii="Rubik" w:eastAsia="Times New Roman" w:hAnsi="Rubik" w:cs="Rubik" w:hint="cs"/>
          <w:b/>
          <w:bCs/>
          <w:sz w:val="18"/>
          <w:szCs w:val="18"/>
        </w:rPr>
        <w:t>3.995</w:t>
      </w:r>
      <w:r w:rsidRPr="006E6E0D">
        <w:rPr>
          <w:rFonts w:ascii="Rubik" w:eastAsia="Times New Roman" w:hAnsi="Rubik" w:cs="Rubik" w:hint="cs"/>
          <w:sz w:val="18"/>
          <w:szCs w:val="18"/>
        </w:rPr>
        <w:t xml:space="preserve"> laureati dell’Università degli studi di Bergamo, di cui di </w:t>
      </w:r>
      <w:r w:rsidRPr="006E6E0D">
        <w:rPr>
          <w:rFonts w:ascii="Rubik" w:eastAsia="Times New Roman" w:hAnsi="Rubik" w:cs="Rubik" w:hint="cs"/>
          <w:b/>
          <w:bCs/>
          <w:sz w:val="18"/>
          <w:szCs w:val="18"/>
        </w:rPr>
        <w:t xml:space="preserve">2.383 </w:t>
      </w:r>
      <w:r w:rsidRPr="006E6E0D">
        <w:rPr>
          <w:rFonts w:ascii="Rubik" w:eastAsia="Times New Roman" w:hAnsi="Rubik" w:cs="Rubik" w:hint="cs"/>
          <w:sz w:val="18"/>
          <w:szCs w:val="18"/>
        </w:rPr>
        <w:t xml:space="preserve">di primo livello, </w:t>
      </w:r>
      <w:r w:rsidRPr="006E6E0D">
        <w:rPr>
          <w:rFonts w:ascii="Rubik" w:eastAsia="Times New Roman" w:hAnsi="Rubik" w:cs="Rubik" w:hint="cs"/>
          <w:b/>
          <w:bCs/>
          <w:sz w:val="18"/>
          <w:szCs w:val="18"/>
        </w:rPr>
        <w:t xml:space="preserve">1.375 </w:t>
      </w:r>
      <w:r w:rsidRPr="006E6E0D">
        <w:rPr>
          <w:rFonts w:ascii="Rubik" w:eastAsia="Times New Roman" w:hAnsi="Rubik" w:cs="Rubik" w:hint="cs"/>
          <w:sz w:val="18"/>
          <w:szCs w:val="18"/>
        </w:rPr>
        <w:t xml:space="preserve">magistrali biennali e </w:t>
      </w:r>
      <w:r w:rsidRPr="006E6E0D">
        <w:rPr>
          <w:rFonts w:ascii="Rubik" w:eastAsia="Times New Roman" w:hAnsi="Rubik" w:cs="Rubik" w:hint="cs"/>
          <w:b/>
          <w:bCs/>
          <w:sz w:val="18"/>
          <w:szCs w:val="18"/>
        </w:rPr>
        <w:t xml:space="preserve">237 </w:t>
      </w:r>
      <w:r w:rsidRPr="006E6E0D">
        <w:rPr>
          <w:rFonts w:ascii="Rubik" w:eastAsia="Times New Roman" w:hAnsi="Rubik" w:cs="Rubik" w:hint="cs"/>
          <w:sz w:val="18"/>
          <w:szCs w:val="18"/>
        </w:rPr>
        <w:t xml:space="preserve">a ciclo unico, </w:t>
      </w:r>
      <w:r w:rsidRPr="006E6E0D">
        <w:rPr>
          <w:rFonts w:ascii="Rubik" w:hAnsi="Rubik" w:cs="Rubik" w:hint="cs"/>
          <w:sz w:val="18"/>
          <w:szCs w:val="18"/>
        </w:rPr>
        <w:t>confermano un quadro complessivamente positivo, con significativi miglioramenti sia sul fronte dell’occupazione sia su quello della partecipazione internazionale</w:t>
      </w:r>
      <w:r w:rsidR="000268E4" w:rsidRPr="000268E4">
        <w:rPr>
          <w:rFonts w:ascii="Rubik" w:hAnsi="Rubik" w:cs="Rubik"/>
          <w:sz w:val="18"/>
          <w:szCs w:val="18"/>
        </w:rPr>
        <w:t>.</w:t>
      </w:r>
    </w:p>
    <w:p w14:paraId="30B2C941" w14:textId="77777777" w:rsidR="000268E4" w:rsidRDefault="000268E4" w:rsidP="000268E4">
      <w:pPr>
        <w:pStyle w:val="NormaleWeb"/>
        <w:spacing w:before="0" w:beforeAutospacing="0" w:after="0" w:afterAutospacing="0"/>
        <w:jc w:val="both"/>
        <w:rPr>
          <w:rFonts w:ascii="Rubik" w:hAnsi="Rubik" w:cs="Rubik"/>
          <w:b/>
          <w:bCs/>
          <w:sz w:val="18"/>
          <w:szCs w:val="18"/>
        </w:rPr>
      </w:pPr>
    </w:p>
    <w:p w14:paraId="31F9C09D" w14:textId="179425BA" w:rsidR="001005DA" w:rsidRPr="000268E4" w:rsidRDefault="006E6E0D" w:rsidP="000268E4">
      <w:pPr>
        <w:pStyle w:val="NormaleWeb"/>
        <w:spacing w:before="0" w:beforeAutospacing="0" w:after="0" w:afterAutospacing="0"/>
        <w:jc w:val="both"/>
        <w:rPr>
          <w:rFonts w:ascii="Rubik" w:eastAsia="Times New Roman" w:hAnsi="Rubik" w:cs="Rubik"/>
          <w:sz w:val="18"/>
          <w:szCs w:val="18"/>
        </w:rPr>
      </w:pPr>
      <w:r w:rsidRPr="004F3312">
        <w:rPr>
          <w:rFonts w:ascii="Rubik" w:hAnsi="Rubik" w:cs="Rubik" w:hint="cs"/>
          <w:sz w:val="18"/>
          <w:szCs w:val="18"/>
        </w:rPr>
        <w:t xml:space="preserve">In particolare, rispetto </w:t>
      </w:r>
      <w:r w:rsidR="001005DA" w:rsidRPr="004F3312">
        <w:rPr>
          <w:rFonts w:ascii="Rubik" w:hAnsi="Rubik" w:cs="Rubik" w:hint="cs"/>
          <w:sz w:val="18"/>
          <w:szCs w:val="18"/>
        </w:rPr>
        <w:t>al </w:t>
      </w:r>
      <w:r w:rsidRPr="004F3312">
        <w:rPr>
          <w:rFonts w:ascii="Rubik" w:hAnsi="Rubik" w:cs="Rubik" w:hint="cs"/>
          <w:b/>
          <w:bCs/>
          <w:sz w:val="18"/>
          <w:szCs w:val="18"/>
        </w:rPr>
        <w:t>profilo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> </w:t>
      </w:r>
      <w:r w:rsidR="001005DA" w:rsidRPr="004F3312">
        <w:rPr>
          <w:rFonts w:ascii="Rubik" w:hAnsi="Rubik" w:cs="Rubik" w:hint="cs"/>
          <w:sz w:val="18"/>
          <w:szCs w:val="18"/>
        </w:rPr>
        <w:t>dei laureati</w:t>
      </w:r>
      <w:r w:rsidRPr="004F3312">
        <w:rPr>
          <w:rFonts w:ascii="Rubik" w:hAnsi="Rubik" w:cs="Rubik" w:hint="cs"/>
          <w:sz w:val="18"/>
          <w:szCs w:val="18"/>
        </w:rPr>
        <w:t xml:space="preserve"> si rileva:</w:t>
      </w:r>
    </w:p>
    <w:p w14:paraId="555F1D20" w14:textId="0CFFF8DD" w:rsidR="001005DA" w:rsidRPr="004F3312" w:rsidRDefault="001005DA" w:rsidP="000268E4">
      <w:pPr>
        <w:jc w:val="both"/>
        <w:rPr>
          <w:rFonts w:ascii="Rubik" w:hAnsi="Rubik" w:cs="Rubik"/>
          <w:sz w:val="18"/>
          <w:szCs w:val="18"/>
        </w:rPr>
      </w:pPr>
      <w:r w:rsidRPr="004F3312">
        <w:rPr>
          <w:rFonts w:ascii="Rubik" w:hAnsi="Rubik" w:cs="Rubik" w:hint="cs"/>
          <w:b/>
          <w:bCs/>
          <w:sz w:val="18"/>
          <w:szCs w:val="18"/>
        </w:rPr>
        <w:t xml:space="preserve">- </w:t>
      </w:r>
      <w:r w:rsidR="006E6E0D" w:rsidRPr="004F3312">
        <w:rPr>
          <w:rFonts w:ascii="Rubik" w:hAnsi="Rubik" w:cs="Rubik" w:hint="cs"/>
          <w:b/>
          <w:bCs/>
          <w:sz w:val="18"/>
          <w:szCs w:val="18"/>
        </w:rPr>
        <w:t>l’</w:t>
      </w:r>
      <w:r w:rsidRPr="004F3312">
        <w:rPr>
          <w:rFonts w:ascii="Rubik" w:hAnsi="Rubik" w:cs="Rubik" w:hint="cs"/>
          <w:b/>
          <w:bCs/>
          <w:sz w:val="18"/>
          <w:szCs w:val="18"/>
        </w:rPr>
        <w:t>aumento del numero di laureati che proviene da un liceo (59,8% dato 2024 contro 56,6% dato 2022)</w:t>
      </w:r>
      <w:r w:rsidR="00025D19">
        <w:rPr>
          <w:rFonts w:ascii="Rubik" w:hAnsi="Rubik" w:cs="Rubik"/>
          <w:b/>
          <w:bCs/>
          <w:sz w:val="18"/>
          <w:szCs w:val="18"/>
        </w:rPr>
        <w:t>;</w:t>
      </w:r>
    </w:p>
    <w:p w14:paraId="3CED4983" w14:textId="2AB162DD" w:rsidR="001005DA" w:rsidRPr="004F3312" w:rsidRDefault="001005DA" w:rsidP="000268E4">
      <w:pPr>
        <w:jc w:val="both"/>
        <w:rPr>
          <w:rFonts w:ascii="Rubik" w:hAnsi="Rubik" w:cs="Rubik"/>
          <w:sz w:val="18"/>
          <w:szCs w:val="18"/>
        </w:rPr>
      </w:pPr>
      <w:r w:rsidRPr="004F3312">
        <w:rPr>
          <w:rFonts w:ascii="Rubik" w:hAnsi="Rubik" w:cs="Rubik" w:hint="cs"/>
          <w:b/>
          <w:bCs/>
          <w:sz w:val="18"/>
          <w:szCs w:val="18"/>
        </w:rPr>
        <w:t xml:space="preserve">- </w:t>
      </w:r>
      <w:r w:rsidR="006E6E0D" w:rsidRPr="004F3312">
        <w:rPr>
          <w:rFonts w:ascii="Rubik" w:hAnsi="Rubik" w:cs="Rubik" w:hint="cs"/>
          <w:b/>
          <w:bCs/>
          <w:sz w:val="18"/>
          <w:szCs w:val="18"/>
        </w:rPr>
        <w:t>il decremento di</w:t>
      </w:r>
      <w:r w:rsidRPr="004F3312">
        <w:rPr>
          <w:rFonts w:ascii="Rubik" w:hAnsi="Rubik" w:cs="Rubik" w:hint="cs"/>
          <w:b/>
          <w:bCs/>
          <w:sz w:val="18"/>
          <w:szCs w:val="18"/>
        </w:rPr>
        <w:t xml:space="preserve"> quasi dieci punti percentuali </w:t>
      </w:r>
      <w:r w:rsidR="006E6E0D" w:rsidRPr="004F3312">
        <w:rPr>
          <w:rFonts w:ascii="Rubik" w:hAnsi="Rubik" w:cs="Rubik" w:hint="cs"/>
          <w:b/>
          <w:bCs/>
          <w:sz w:val="18"/>
          <w:szCs w:val="18"/>
        </w:rPr>
        <w:t>del</w:t>
      </w:r>
      <w:r w:rsidRPr="004F3312">
        <w:rPr>
          <w:rFonts w:ascii="Rubik" w:hAnsi="Rubik" w:cs="Rubik" w:hint="cs"/>
          <w:b/>
          <w:bCs/>
          <w:sz w:val="18"/>
          <w:szCs w:val="18"/>
        </w:rPr>
        <w:t xml:space="preserve"> numero di persone che si laureano in corso (61,9%, dato 2024 contro il 71,2%, dato 2022).</w:t>
      </w:r>
      <w:r w:rsidRPr="004F3312">
        <w:rPr>
          <w:rFonts w:ascii="Rubik" w:hAnsi="Rubik" w:cs="Rubik" w:hint="cs"/>
          <w:sz w:val="18"/>
          <w:szCs w:val="18"/>
        </w:rPr>
        <w:t xml:space="preserve"> </w:t>
      </w:r>
      <w:proofErr w:type="gramStart"/>
      <w:r w:rsidR="006E6E0D" w:rsidRPr="004F3312">
        <w:rPr>
          <w:rFonts w:ascii="Rubik" w:hAnsi="Rubik" w:cs="Rubik" w:hint="cs"/>
          <w:sz w:val="18"/>
          <w:szCs w:val="18"/>
        </w:rPr>
        <w:t>Un trend</w:t>
      </w:r>
      <w:proofErr w:type="gramEnd"/>
      <w:r w:rsidR="006E6E0D" w:rsidRPr="004F3312">
        <w:rPr>
          <w:rFonts w:ascii="Rubik" w:hAnsi="Rubik" w:cs="Rubik" w:hint="cs"/>
          <w:sz w:val="18"/>
          <w:szCs w:val="18"/>
        </w:rPr>
        <w:t xml:space="preserve"> che rispecchia il </w:t>
      </w:r>
      <w:r w:rsidRPr="004F3312">
        <w:rPr>
          <w:rFonts w:ascii="Rubik" w:hAnsi="Rubik" w:cs="Rubik" w:hint="cs"/>
          <w:sz w:val="18"/>
          <w:szCs w:val="18"/>
        </w:rPr>
        <w:t xml:space="preserve">calo di circa </w:t>
      </w:r>
      <w:proofErr w:type="gramStart"/>
      <w:r w:rsidRPr="004F3312">
        <w:rPr>
          <w:rFonts w:ascii="Rubik" w:hAnsi="Rubik" w:cs="Rubik" w:hint="cs"/>
          <w:sz w:val="18"/>
          <w:szCs w:val="18"/>
        </w:rPr>
        <w:t>5</w:t>
      </w:r>
      <w:proofErr w:type="gramEnd"/>
      <w:r w:rsidRPr="004F3312">
        <w:rPr>
          <w:rFonts w:ascii="Rubik" w:hAnsi="Rubik" w:cs="Rubik" w:hint="cs"/>
          <w:sz w:val="18"/>
          <w:szCs w:val="18"/>
        </w:rPr>
        <w:t xml:space="preserve"> punti percentuali anche a livello nazionale e lombardo, </w:t>
      </w:r>
      <w:r w:rsidR="006E6E0D" w:rsidRPr="000268E4">
        <w:rPr>
          <w:rFonts w:ascii="Rubik" w:hAnsi="Rubik" w:cs="Rubik" w:hint="cs"/>
          <w:sz w:val="18"/>
          <w:szCs w:val="18"/>
        </w:rPr>
        <w:t xml:space="preserve">che </w:t>
      </w:r>
      <w:r w:rsidR="000177E9" w:rsidRPr="000268E4">
        <w:rPr>
          <w:rFonts w:ascii="Rubik" w:hAnsi="Rubik" w:cs="Rubik" w:hint="cs"/>
          <w:sz w:val="18"/>
          <w:szCs w:val="18"/>
        </w:rPr>
        <w:t xml:space="preserve">in termini assoluti </w:t>
      </w:r>
      <w:r w:rsidR="006E6E0D" w:rsidRPr="000268E4">
        <w:rPr>
          <w:rFonts w:ascii="Rubik" w:hAnsi="Rubik" w:cs="Rubik" w:hint="cs"/>
          <w:sz w:val="18"/>
          <w:szCs w:val="18"/>
        </w:rPr>
        <w:t>p</w:t>
      </w:r>
      <w:r w:rsidRPr="000268E4">
        <w:rPr>
          <w:rFonts w:ascii="Rubik" w:hAnsi="Rubik" w:cs="Rubik" w:hint="cs"/>
          <w:sz w:val="18"/>
          <w:szCs w:val="18"/>
        </w:rPr>
        <w:t>resentano</w:t>
      </w:r>
      <w:r w:rsidRPr="004F3312">
        <w:rPr>
          <w:rFonts w:ascii="Rubik" w:hAnsi="Rubik" w:cs="Rubik" w:hint="cs"/>
          <w:sz w:val="18"/>
          <w:szCs w:val="18"/>
        </w:rPr>
        <w:t xml:space="preserve"> percentuali superiori </w:t>
      </w:r>
      <w:r w:rsidR="006E6E0D" w:rsidRPr="004F3312">
        <w:rPr>
          <w:rFonts w:ascii="Rubik" w:hAnsi="Rubik" w:cs="Rubik" w:hint="cs"/>
          <w:sz w:val="18"/>
          <w:szCs w:val="18"/>
        </w:rPr>
        <w:t>all’andamento UniBg</w:t>
      </w:r>
      <w:r w:rsidRPr="004F3312">
        <w:rPr>
          <w:rFonts w:ascii="Rubik" w:hAnsi="Rubik" w:cs="Rubik" w:hint="cs"/>
          <w:sz w:val="18"/>
          <w:szCs w:val="18"/>
        </w:rPr>
        <w:t>.</w:t>
      </w:r>
    </w:p>
    <w:p w14:paraId="762A0E36" w14:textId="162E10B6" w:rsidR="001005DA" w:rsidRPr="004F3312" w:rsidRDefault="006E6E0D" w:rsidP="000268E4">
      <w:pPr>
        <w:jc w:val="both"/>
        <w:rPr>
          <w:rFonts w:ascii="Rubik" w:hAnsi="Rubik" w:cs="Rubik"/>
          <w:sz w:val="18"/>
          <w:szCs w:val="18"/>
        </w:rPr>
      </w:pPr>
      <w:r w:rsidRPr="004F3312">
        <w:rPr>
          <w:rFonts w:ascii="Rubik" w:hAnsi="Rubik" w:cs="Rubik" w:hint="cs"/>
          <w:sz w:val="18"/>
          <w:szCs w:val="18"/>
        </w:rPr>
        <w:t xml:space="preserve">Parallelamente </w:t>
      </w:r>
      <w:r w:rsidR="001C704A" w:rsidRPr="004F3312">
        <w:rPr>
          <w:rFonts w:ascii="Rubik" w:hAnsi="Rubik" w:cs="Rubik" w:hint="cs"/>
          <w:sz w:val="18"/>
          <w:szCs w:val="18"/>
        </w:rPr>
        <w:t>s</w:t>
      </w:r>
      <w:r w:rsidR="001005DA" w:rsidRPr="004F3312">
        <w:rPr>
          <w:rFonts w:ascii="Rubik" w:hAnsi="Rubik" w:cs="Rubik" w:hint="cs"/>
          <w:sz w:val="18"/>
          <w:szCs w:val="18"/>
        </w:rPr>
        <w:t xml:space="preserve">ono aumentate la percentuale di studenti che svolgono periodo di studi all'estero (10,6%, dato 2024, contro il 7,9%, dato 2022), leggermente sopra l'aumento riscontrato a livello nazionale e in linea con quello lombardo, e la 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>percentuale di studenti che lavora durante gli studi (83,4%, dato 2024, rispetto a 78,9% del 2022), questo dato nettamente superiore al dato nazionale (66,7% nel 2024 versus 64,1% nel 2022) e regionale (72,8% dato 2024, contro il 69,5% nel 2022)</w:t>
      </w:r>
      <w:r w:rsidR="000268E4">
        <w:rPr>
          <w:rFonts w:ascii="Rubik" w:hAnsi="Rubik" w:cs="Rubik"/>
          <w:b/>
          <w:bCs/>
          <w:sz w:val="18"/>
          <w:szCs w:val="18"/>
        </w:rPr>
        <w:t>.</w:t>
      </w:r>
    </w:p>
    <w:p w14:paraId="59CE351F" w14:textId="77777777" w:rsidR="001005DA" w:rsidRPr="004F3312" w:rsidRDefault="001005DA" w:rsidP="000268E4">
      <w:pPr>
        <w:jc w:val="both"/>
        <w:rPr>
          <w:rFonts w:ascii="Rubik" w:hAnsi="Rubik" w:cs="Rubik"/>
          <w:sz w:val="18"/>
          <w:szCs w:val="18"/>
        </w:rPr>
      </w:pPr>
    </w:p>
    <w:p w14:paraId="56D8D30E" w14:textId="43037AB8" w:rsidR="001005DA" w:rsidRPr="004F3312" w:rsidRDefault="001005DA" w:rsidP="000268E4">
      <w:pPr>
        <w:jc w:val="both"/>
        <w:rPr>
          <w:rFonts w:ascii="Rubik" w:hAnsi="Rubik" w:cs="Rubik"/>
          <w:sz w:val="18"/>
          <w:szCs w:val="18"/>
        </w:rPr>
      </w:pPr>
      <w:r w:rsidRPr="004F3312">
        <w:rPr>
          <w:rFonts w:ascii="Rubik" w:hAnsi="Rubik" w:cs="Rubik" w:hint="cs"/>
          <w:sz w:val="18"/>
          <w:szCs w:val="18"/>
        </w:rPr>
        <w:t>Rispetto alla </w:t>
      </w:r>
      <w:r w:rsidR="006E6E0D" w:rsidRPr="004F3312">
        <w:rPr>
          <w:rFonts w:ascii="Rubik" w:hAnsi="Rubik" w:cs="Rubik" w:hint="cs"/>
          <w:b/>
          <w:bCs/>
          <w:sz w:val="18"/>
          <w:szCs w:val="18"/>
        </w:rPr>
        <w:t>condizione occupazional</w:t>
      </w:r>
      <w:r w:rsidR="000268E4">
        <w:rPr>
          <w:rFonts w:ascii="Rubik" w:hAnsi="Rubik" w:cs="Rubik"/>
          <w:b/>
          <w:bCs/>
          <w:sz w:val="18"/>
          <w:szCs w:val="18"/>
        </w:rPr>
        <w:t xml:space="preserve">e </w:t>
      </w:r>
      <w:r w:rsidRPr="004F3312">
        <w:rPr>
          <w:rFonts w:ascii="Rubik" w:hAnsi="Rubik" w:cs="Rubik" w:hint="cs"/>
          <w:sz w:val="18"/>
          <w:szCs w:val="18"/>
        </w:rPr>
        <w:t>dei laureati (il dato raccolto nel 2024 si riferisce a chi si è laureato nel 2023, a un anno dalla </w:t>
      </w:r>
      <w:r w:rsidRPr="004F3312">
        <w:rPr>
          <w:rStyle w:val="il"/>
          <w:rFonts w:ascii="Rubik" w:hAnsi="Rubik" w:cs="Rubik" w:hint="cs"/>
          <w:sz w:val="18"/>
          <w:szCs w:val="18"/>
        </w:rPr>
        <w:t>laurea</w:t>
      </w:r>
      <w:r w:rsidRPr="004F3312">
        <w:rPr>
          <w:rFonts w:ascii="Rubik" w:hAnsi="Rubik" w:cs="Rubik" w:hint="cs"/>
          <w:sz w:val="18"/>
          <w:szCs w:val="18"/>
        </w:rPr>
        <w:t> per LT e LM; e si riferisce a chi si è laureato nel 2019, a 5 anni dalla </w:t>
      </w:r>
      <w:r w:rsidRPr="004F3312">
        <w:rPr>
          <w:rStyle w:val="il"/>
          <w:rFonts w:ascii="Rubik" w:hAnsi="Rubik" w:cs="Rubik" w:hint="cs"/>
          <w:sz w:val="18"/>
          <w:szCs w:val="18"/>
        </w:rPr>
        <w:t>laurea</w:t>
      </w:r>
      <w:r w:rsidRPr="004F3312">
        <w:rPr>
          <w:rFonts w:ascii="Rubik" w:hAnsi="Rubik" w:cs="Rubik" w:hint="cs"/>
          <w:sz w:val="18"/>
          <w:szCs w:val="18"/>
        </w:rPr>
        <w:t> per</w:t>
      </w:r>
      <w:r w:rsidR="00BE1FFE" w:rsidRPr="004F3312">
        <w:rPr>
          <w:rFonts w:ascii="Rubik" w:hAnsi="Rubik" w:cs="Rubik" w:hint="cs"/>
          <w:sz w:val="18"/>
          <w:szCs w:val="18"/>
        </w:rPr>
        <w:t xml:space="preserve"> LM e</w:t>
      </w:r>
      <w:r w:rsidRPr="004F3312">
        <w:rPr>
          <w:rFonts w:ascii="Rubik" w:hAnsi="Rubik" w:cs="Rubik" w:hint="cs"/>
          <w:sz w:val="18"/>
          <w:szCs w:val="18"/>
        </w:rPr>
        <w:t xml:space="preserve"> LM</w:t>
      </w:r>
      <w:r w:rsidR="001C704A" w:rsidRPr="004F3312">
        <w:rPr>
          <w:rFonts w:ascii="Rubik" w:hAnsi="Rubik" w:cs="Rubik" w:hint="cs"/>
          <w:sz w:val="18"/>
          <w:szCs w:val="18"/>
        </w:rPr>
        <w:t>CU</w:t>
      </w:r>
      <w:r w:rsidRPr="004F3312">
        <w:rPr>
          <w:rFonts w:ascii="Rubik" w:hAnsi="Rubik" w:cs="Rubik" w:hint="cs"/>
          <w:sz w:val="18"/>
          <w:szCs w:val="18"/>
        </w:rPr>
        <w:t>)</w:t>
      </w:r>
      <w:r w:rsidR="006E6E0D" w:rsidRPr="004F3312">
        <w:rPr>
          <w:rFonts w:ascii="Rubik" w:hAnsi="Rubik" w:cs="Rubik" w:hint="cs"/>
          <w:sz w:val="18"/>
          <w:szCs w:val="18"/>
        </w:rPr>
        <w:t xml:space="preserve"> il quadro è chiaro.</w:t>
      </w:r>
    </w:p>
    <w:p w14:paraId="5CD339A0" w14:textId="13C03CB0" w:rsidR="001005DA" w:rsidRPr="004F3312" w:rsidRDefault="006E6E0D" w:rsidP="000268E4">
      <w:pPr>
        <w:jc w:val="both"/>
        <w:rPr>
          <w:rFonts w:ascii="Rubik" w:hAnsi="Rubik" w:cs="Rubik"/>
          <w:sz w:val="18"/>
          <w:szCs w:val="18"/>
        </w:rPr>
      </w:pPr>
      <w:r w:rsidRPr="004F3312">
        <w:rPr>
          <w:rFonts w:ascii="Rubik" w:hAnsi="Rubik" w:cs="Rubik" w:hint="cs"/>
          <w:b/>
          <w:bCs/>
          <w:sz w:val="18"/>
          <w:szCs w:val="18"/>
        </w:rPr>
        <w:t xml:space="preserve">Per le </w:t>
      </w:r>
      <w:r w:rsidR="000177E9" w:rsidRPr="004F3312">
        <w:rPr>
          <w:rFonts w:ascii="Rubik" w:hAnsi="Rubik" w:cs="Rubik" w:hint="cs"/>
          <w:b/>
          <w:bCs/>
          <w:sz w:val="18"/>
          <w:szCs w:val="18"/>
        </w:rPr>
        <w:t xml:space="preserve">Lauree </w:t>
      </w:r>
      <w:r w:rsidRPr="004F3312">
        <w:rPr>
          <w:rFonts w:ascii="Rubik" w:hAnsi="Rubik" w:cs="Rubik" w:hint="cs"/>
          <w:b/>
          <w:bCs/>
          <w:sz w:val="18"/>
          <w:szCs w:val="18"/>
        </w:rPr>
        <w:t>Triennali</w:t>
      </w:r>
      <w:r w:rsidR="000268E4">
        <w:rPr>
          <w:rFonts w:ascii="Rubik" w:hAnsi="Rubik" w:cs="Rubik"/>
          <w:b/>
          <w:bCs/>
          <w:sz w:val="18"/>
          <w:szCs w:val="18"/>
        </w:rPr>
        <w:t xml:space="preserve">, </w:t>
      </w:r>
      <w:r w:rsidR="001C704A" w:rsidRPr="004F3312">
        <w:rPr>
          <w:rFonts w:ascii="Rubik" w:hAnsi="Rubik" w:cs="Rubik" w:hint="cs"/>
          <w:sz w:val="18"/>
          <w:szCs w:val="18"/>
        </w:rPr>
        <w:t>mentre a livello regionale si registra un calo (51,1%, dato 2024, contro il 58,2% dato 2022), per UniBg</w:t>
      </w:r>
      <w:r w:rsidR="001005DA" w:rsidRPr="004F3312">
        <w:rPr>
          <w:rFonts w:ascii="Rubik" w:hAnsi="Rubik" w:cs="Rubik" w:hint="cs"/>
          <w:sz w:val="18"/>
          <w:szCs w:val="18"/>
        </w:rPr>
        <w:t xml:space="preserve"> aumenta lievemente il numero di coloro che proseguono con una magistrale (60,6%, dato 2024, contro il 59,1%, dato 2022)</w:t>
      </w:r>
      <w:r w:rsidR="001C704A" w:rsidRPr="004F3312">
        <w:rPr>
          <w:rFonts w:ascii="Rubik" w:hAnsi="Rubik" w:cs="Rubik" w:hint="cs"/>
          <w:sz w:val="18"/>
          <w:szCs w:val="18"/>
        </w:rPr>
        <w:t xml:space="preserve">. </w:t>
      </w:r>
    </w:p>
    <w:p w14:paraId="4FB7C414" w14:textId="77777777" w:rsidR="00B70E22" w:rsidRDefault="006E6E0D" w:rsidP="000268E4">
      <w:pPr>
        <w:jc w:val="both"/>
        <w:rPr>
          <w:rFonts w:ascii="Rubik" w:hAnsi="Rubik" w:cs="Rubik"/>
          <w:b/>
          <w:bCs/>
          <w:sz w:val="18"/>
          <w:szCs w:val="18"/>
        </w:rPr>
      </w:pPr>
      <w:r w:rsidRPr="004F3312">
        <w:rPr>
          <w:rFonts w:ascii="Rubik" w:hAnsi="Rubik" w:cs="Rubik" w:hint="cs"/>
          <w:b/>
          <w:bCs/>
          <w:sz w:val="18"/>
          <w:szCs w:val="18"/>
        </w:rPr>
        <w:t>T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>ra chi NON si iscrive a una LM, aumenta la percentuale di persone</w:t>
      </w:r>
      <w:r w:rsidR="000177E9" w:rsidRPr="004F3312">
        <w:rPr>
          <w:rFonts w:ascii="Rubik" w:hAnsi="Rubik" w:cs="Rubik" w:hint="cs"/>
          <w:b/>
          <w:bCs/>
          <w:sz w:val="18"/>
          <w:szCs w:val="18"/>
        </w:rPr>
        <w:t xml:space="preserve"> laureate a U</w:t>
      </w:r>
      <w:r w:rsidR="000268E4">
        <w:rPr>
          <w:rFonts w:ascii="Rubik" w:hAnsi="Rubik" w:cs="Rubik"/>
          <w:b/>
          <w:bCs/>
          <w:sz w:val="18"/>
          <w:szCs w:val="18"/>
        </w:rPr>
        <w:t>niBg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 xml:space="preserve"> occupate a un anno dal titolo (84%, dato 2024, versus 80,1%, dato 2022), superiore alla percentuale nazionale che si assesta nel 2024 al 78,6% e regionale che per il 2024 è pari all'82,5%. </w:t>
      </w:r>
    </w:p>
    <w:p w14:paraId="49C87248" w14:textId="57EA193E" w:rsidR="001005DA" w:rsidRPr="004F3312" w:rsidRDefault="000268E4" w:rsidP="000268E4">
      <w:pPr>
        <w:jc w:val="both"/>
        <w:rPr>
          <w:rFonts w:ascii="Rubik" w:hAnsi="Rubik" w:cs="Rubik"/>
          <w:b/>
          <w:bCs/>
          <w:sz w:val="18"/>
          <w:szCs w:val="18"/>
        </w:rPr>
      </w:pPr>
      <w:r>
        <w:rPr>
          <w:rFonts w:ascii="Rubik" w:hAnsi="Rubik" w:cs="Rubik"/>
          <w:b/>
          <w:bCs/>
          <w:sz w:val="18"/>
          <w:szCs w:val="18"/>
        </w:rPr>
        <w:t>È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 xml:space="preserve"> aumentata la retribuzione mensile netta ed è aumentata la valutazione della </w:t>
      </w:r>
      <w:r w:rsidR="001005DA" w:rsidRPr="004F3312">
        <w:rPr>
          <w:rStyle w:val="il"/>
          <w:rFonts w:ascii="Rubik" w:hAnsi="Rubik" w:cs="Rubik" w:hint="cs"/>
          <w:b/>
          <w:bCs/>
          <w:sz w:val="18"/>
          <w:szCs w:val="18"/>
        </w:rPr>
        <w:t>laurea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> come molto efficace o efficace per l'inserimento lavorativo (59,7%, dato 2024, contro 55,4%, dato 2022), superiore rispetto al</w:t>
      </w:r>
      <w:r w:rsidR="00B70E22">
        <w:rPr>
          <w:rFonts w:ascii="Rubik" w:hAnsi="Rubik" w:cs="Rubik"/>
          <w:b/>
          <w:bCs/>
          <w:sz w:val="18"/>
          <w:szCs w:val="18"/>
        </w:rPr>
        <w:t xml:space="preserve"> 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>valore regionale (56,9%), e allineata al valore nazionale (60,8%)</w:t>
      </w:r>
      <w:r w:rsidR="00B70E22">
        <w:rPr>
          <w:rFonts w:ascii="Rubik" w:hAnsi="Rubik" w:cs="Rubik"/>
          <w:b/>
          <w:bCs/>
          <w:sz w:val="18"/>
          <w:szCs w:val="18"/>
        </w:rPr>
        <w:t>.</w:t>
      </w:r>
    </w:p>
    <w:p w14:paraId="29D50468" w14:textId="77777777" w:rsidR="001005DA" w:rsidRPr="004F3312" w:rsidRDefault="001005DA" w:rsidP="000268E4">
      <w:pPr>
        <w:jc w:val="both"/>
        <w:rPr>
          <w:rFonts w:ascii="Rubik" w:hAnsi="Rubik" w:cs="Rubik"/>
          <w:sz w:val="18"/>
          <w:szCs w:val="18"/>
        </w:rPr>
      </w:pPr>
    </w:p>
    <w:p w14:paraId="427DDB15" w14:textId="4A8B1B78" w:rsidR="001005DA" w:rsidRPr="004F3312" w:rsidRDefault="006E6E0D" w:rsidP="000268E4">
      <w:pPr>
        <w:jc w:val="both"/>
        <w:rPr>
          <w:rFonts w:ascii="Rubik" w:hAnsi="Rubik" w:cs="Rubik"/>
          <w:sz w:val="18"/>
          <w:szCs w:val="18"/>
        </w:rPr>
      </w:pPr>
      <w:r w:rsidRPr="004F3312">
        <w:rPr>
          <w:rFonts w:ascii="Rubik" w:hAnsi="Rubik" w:cs="Rubik" w:hint="cs"/>
          <w:sz w:val="18"/>
          <w:szCs w:val="18"/>
        </w:rPr>
        <w:t>Per le</w:t>
      </w:r>
      <w:r w:rsidRPr="004F3312">
        <w:rPr>
          <w:rFonts w:ascii="Rubik" w:hAnsi="Rubik" w:cs="Rubik" w:hint="cs"/>
          <w:b/>
          <w:bCs/>
          <w:sz w:val="18"/>
          <w:szCs w:val="18"/>
        </w:rPr>
        <w:t xml:space="preserve"> </w:t>
      </w:r>
      <w:r w:rsidR="000177E9" w:rsidRPr="004F3312">
        <w:rPr>
          <w:rFonts w:ascii="Rubik" w:hAnsi="Rubik" w:cs="Rubik" w:hint="cs"/>
          <w:b/>
          <w:bCs/>
          <w:sz w:val="18"/>
          <w:szCs w:val="18"/>
        </w:rPr>
        <w:t xml:space="preserve">Lauree </w:t>
      </w:r>
      <w:r w:rsidRPr="004F3312">
        <w:rPr>
          <w:rFonts w:ascii="Rubik" w:hAnsi="Rubik" w:cs="Rubik" w:hint="cs"/>
          <w:b/>
          <w:bCs/>
          <w:sz w:val="18"/>
          <w:szCs w:val="18"/>
        </w:rPr>
        <w:t>Magistral</w:t>
      </w:r>
      <w:r w:rsidR="00B70E22">
        <w:rPr>
          <w:rFonts w:ascii="Rubik" w:hAnsi="Rubik" w:cs="Rubik"/>
          <w:b/>
          <w:bCs/>
          <w:sz w:val="18"/>
          <w:szCs w:val="18"/>
        </w:rPr>
        <w:t xml:space="preserve">i 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>aumenta la percentuale di persone occupate a un anno dal titolo (87,4%, dato 2024, versus 85,2%, dato 2022), superiore alla percentuale nazionale che si assesta nel 2024 al 78,6% e regionale pari nel 2024 a 82,7%.</w:t>
      </w:r>
    </w:p>
    <w:p w14:paraId="714A9FB3" w14:textId="5DD9F27F" w:rsidR="001005DA" w:rsidRPr="004F3312" w:rsidRDefault="001005DA" w:rsidP="000268E4">
      <w:pPr>
        <w:jc w:val="both"/>
        <w:rPr>
          <w:rFonts w:ascii="Rubik" w:hAnsi="Rubik" w:cs="Rubik"/>
          <w:sz w:val="18"/>
          <w:szCs w:val="18"/>
        </w:rPr>
      </w:pPr>
      <w:r w:rsidRPr="004F3312">
        <w:rPr>
          <w:rFonts w:ascii="Rubik" w:hAnsi="Rubik" w:cs="Rubik" w:hint="cs"/>
          <w:sz w:val="18"/>
          <w:szCs w:val="18"/>
        </w:rPr>
        <w:t>A cinque anni dalla </w:t>
      </w:r>
      <w:r w:rsidRPr="004F3312">
        <w:rPr>
          <w:rStyle w:val="il"/>
          <w:rFonts w:ascii="Rubik" w:hAnsi="Rubik" w:cs="Rubik" w:hint="cs"/>
          <w:sz w:val="18"/>
          <w:szCs w:val="18"/>
        </w:rPr>
        <w:t>laurea</w:t>
      </w:r>
      <w:r w:rsidRPr="004F3312">
        <w:rPr>
          <w:rFonts w:ascii="Rubik" w:hAnsi="Rubik" w:cs="Rubik" w:hint="cs"/>
          <w:sz w:val="18"/>
          <w:szCs w:val="18"/>
        </w:rPr>
        <w:t xml:space="preserve">, </w:t>
      </w:r>
      <w:r w:rsidRPr="004F3312">
        <w:rPr>
          <w:rFonts w:ascii="Rubik" w:hAnsi="Rubik" w:cs="Rubik" w:hint="cs"/>
          <w:b/>
          <w:bCs/>
          <w:sz w:val="18"/>
          <w:szCs w:val="18"/>
        </w:rPr>
        <w:t>aumenta la percentuale di contratti a tempo indeterminato</w:t>
      </w:r>
      <w:r w:rsidRPr="004F3312">
        <w:rPr>
          <w:rFonts w:ascii="Rubik" w:hAnsi="Rubik" w:cs="Rubik" w:hint="cs"/>
          <w:sz w:val="18"/>
          <w:szCs w:val="18"/>
        </w:rPr>
        <w:t xml:space="preserve"> (67,5%, dato 2024, versus 64,5%, dato 2022)</w:t>
      </w:r>
      <w:r w:rsidR="007366E1" w:rsidRPr="004F3312">
        <w:rPr>
          <w:rFonts w:ascii="Rubik" w:hAnsi="Rubik" w:cs="Rubik" w:hint="cs"/>
          <w:sz w:val="18"/>
          <w:szCs w:val="18"/>
        </w:rPr>
        <w:t>, superiori rispetto alla media regionale.</w:t>
      </w:r>
    </w:p>
    <w:p w14:paraId="56DD8585" w14:textId="55A9AFAC" w:rsidR="001005DA" w:rsidRPr="004F3312" w:rsidRDefault="007366E1" w:rsidP="000268E4">
      <w:pPr>
        <w:jc w:val="both"/>
        <w:rPr>
          <w:rFonts w:ascii="Rubik" w:hAnsi="Rubik" w:cs="Rubik"/>
          <w:sz w:val="18"/>
          <w:szCs w:val="18"/>
        </w:rPr>
      </w:pPr>
      <w:r w:rsidRPr="004F3312">
        <w:rPr>
          <w:rFonts w:ascii="Rubik" w:hAnsi="Rubik" w:cs="Rubik" w:hint="cs"/>
          <w:b/>
          <w:bCs/>
          <w:sz w:val="18"/>
          <w:szCs w:val="18"/>
        </w:rPr>
        <w:t>Anche per le L</w:t>
      </w:r>
      <w:r w:rsidR="000177E9" w:rsidRPr="004F3312">
        <w:rPr>
          <w:rFonts w:ascii="Rubik" w:hAnsi="Rubik" w:cs="Rubik" w:hint="cs"/>
          <w:b/>
          <w:bCs/>
          <w:sz w:val="18"/>
          <w:szCs w:val="18"/>
        </w:rPr>
        <w:t>auree Magistrali (LM)</w:t>
      </w:r>
      <w:r w:rsidRPr="004F3312">
        <w:rPr>
          <w:rFonts w:ascii="Rubik" w:hAnsi="Rubik" w:cs="Rubik" w:hint="cs"/>
          <w:b/>
          <w:bCs/>
          <w:sz w:val="18"/>
          <w:szCs w:val="18"/>
        </w:rPr>
        <w:t xml:space="preserve"> </w:t>
      </w:r>
      <w:r w:rsidR="0027240D" w:rsidRPr="004F3312">
        <w:rPr>
          <w:rFonts w:ascii="Rubik" w:hAnsi="Rubik" w:cs="Rubik" w:hint="cs"/>
          <w:b/>
          <w:bCs/>
          <w:sz w:val="18"/>
          <w:szCs w:val="18"/>
        </w:rPr>
        <w:t>e L</w:t>
      </w:r>
      <w:r w:rsidR="000177E9" w:rsidRPr="004F3312">
        <w:rPr>
          <w:rFonts w:ascii="Rubik" w:hAnsi="Rubik" w:cs="Rubik" w:hint="cs"/>
          <w:b/>
          <w:bCs/>
          <w:sz w:val="18"/>
          <w:szCs w:val="18"/>
        </w:rPr>
        <w:t xml:space="preserve">auree </w:t>
      </w:r>
      <w:r w:rsidR="0027240D" w:rsidRPr="004F3312">
        <w:rPr>
          <w:rFonts w:ascii="Rubik" w:hAnsi="Rubik" w:cs="Rubik" w:hint="cs"/>
          <w:b/>
          <w:bCs/>
          <w:sz w:val="18"/>
          <w:szCs w:val="18"/>
        </w:rPr>
        <w:t>M</w:t>
      </w:r>
      <w:r w:rsidR="000177E9" w:rsidRPr="004F3312">
        <w:rPr>
          <w:rFonts w:ascii="Rubik" w:hAnsi="Rubik" w:cs="Rubik" w:hint="cs"/>
          <w:b/>
          <w:bCs/>
          <w:sz w:val="18"/>
          <w:szCs w:val="18"/>
        </w:rPr>
        <w:t xml:space="preserve">agistrali a </w:t>
      </w:r>
      <w:r w:rsidR="0027240D" w:rsidRPr="004F3312">
        <w:rPr>
          <w:rFonts w:ascii="Rubik" w:hAnsi="Rubik" w:cs="Rubik" w:hint="cs"/>
          <w:b/>
          <w:bCs/>
          <w:sz w:val="18"/>
          <w:szCs w:val="18"/>
        </w:rPr>
        <w:t>C</w:t>
      </w:r>
      <w:r w:rsidR="000177E9" w:rsidRPr="004F3312">
        <w:rPr>
          <w:rFonts w:ascii="Rubik" w:hAnsi="Rubik" w:cs="Rubik" w:hint="cs"/>
          <w:b/>
          <w:bCs/>
          <w:sz w:val="18"/>
          <w:szCs w:val="18"/>
        </w:rPr>
        <w:t xml:space="preserve">iclo </w:t>
      </w:r>
      <w:r w:rsidR="0027240D" w:rsidRPr="004F3312">
        <w:rPr>
          <w:rFonts w:ascii="Rubik" w:hAnsi="Rubik" w:cs="Rubik" w:hint="cs"/>
          <w:b/>
          <w:bCs/>
          <w:sz w:val="18"/>
          <w:szCs w:val="18"/>
        </w:rPr>
        <w:t>U</w:t>
      </w:r>
      <w:r w:rsidR="000177E9" w:rsidRPr="004F3312">
        <w:rPr>
          <w:rFonts w:ascii="Rubik" w:hAnsi="Rubik" w:cs="Rubik" w:hint="cs"/>
          <w:b/>
          <w:bCs/>
          <w:sz w:val="18"/>
          <w:szCs w:val="18"/>
        </w:rPr>
        <w:t>nico (LMCU)</w:t>
      </w:r>
      <w:r w:rsidR="0027240D" w:rsidRPr="004F3312">
        <w:rPr>
          <w:rFonts w:ascii="Rubik" w:hAnsi="Rubik" w:cs="Rubik" w:hint="cs"/>
          <w:b/>
          <w:bCs/>
          <w:sz w:val="18"/>
          <w:szCs w:val="18"/>
        </w:rPr>
        <w:t xml:space="preserve"> 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>aumenta la retribuzione mensile netta e la valutazione che la </w:t>
      </w:r>
      <w:r w:rsidR="001005DA" w:rsidRPr="004F3312">
        <w:rPr>
          <w:rStyle w:val="il"/>
          <w:rFonts w:ascii="Rubik" w:hAnsi="Rubik" w:cs="Rubik" w:hint="cs"/>
          <w:b/>
          <w:bCs/>
          <w:sz w:val="18"/>
          <w:szCs w:val="18"/>
        </w:rPr>
        <w:t>laurea</w:t>
      </w:r>
      <w:r w:rsidR="001005DA" w:rsidRPr="004F3312">
        <w:rPr>
          <w:rFonts w:ascii="Rubik" w:hAnsi="Rubik" w:cs="Rubik" w:hint="cs"/>
          <w:b/>
          <w:bCs/>
          <w:sz w:val="18"/>
          <w:szCs w:val="18"/>
        </w:rPr>
        <w:t> sia molto efficace o efficace per il lavoro che si sta svolgendo (63,9%, dato 2024, contro il 60,5%, dato 2022</w:t>
      </w:r>
      <w:r w:rsidRPr="004F3312">
        <w:rPr>
          <w:rFonts w:ascii="Rubik" w:hAnsi="Rubik" w:cs="Rubik" w:hint="cs"/>
          <w:b/>
          <w:bCs/>
          <w:sz w:val="18"/>
          <w:szCs w:val="18"/>
        </w:rPr>
        <w:t>).</w:t>
      </w:r>
    </w:p>
    <w:p w14:paraId="0B5823F3" w14:textId="77777777" w:rsidR="001005DA" w:rsidRPr="004F3312" w:rsidRDefault="001005DA" w:rsidP="000268E4">
      <w:pPr>
        <w:jc w:val="both"/>
        <w:rPr>
          <w:rFonts w:ascii="Rubik" w:hAnsi="Rubik" w:cs="Rubik"/>
          <w:sz w:val="18"/>
          <w:szCs w:val="18"/>
        </w:rPr>
      </w:pPr>
    </w:p>
    <w:p w14:paraId="2E651646" w14:textId="77777777" w:rsidR="004F3312" w:rsidRPr="004F3312" w:rsidRDefault="001005DA" w:rsidP="000268E4">
      <w:pPr>
        <w:jc w:val="both"/>
        <w:rPr>
          <w:rFonts w:ascii="Rubik" w:hAnsi="Rubik" w:cs="Rubik"/>
          <w:strike/>
          <w:sz w:val="18"/>
          <w:szCs w:val="18"/>
        </w:rPr>
      </w:pPr>
      <w:r w:rsidRPr="004F3312">
        <w:rPr>
          <w:rFonts w:ascii="Rubik" w:hAnsi="Rubik" w:cs="Rubik" w:hint="cs"/>
          <w:sz w:val="18"/>
          <w:szCs w:val="18"/>
        </w:rPr>
        <w:t xml:space="preserve">Solo per </w:t>
      </w:r>
      <w:r w:rsidR="007366E1" w:rsidRPr="004F3312">
        <w:rPr>
          <w:rFonts w:ascii="Rubik" w:hAnsi="Rubik" w:cs="Rubik" w:hint="cs"/>
          <w:sz w:val="18"/>
          <w:szCs w:val="18"/>
        </w:rPr>
        <w:t>le LM</w:t>
      </w:r>
      <w:r w:rsidR="0027240D" w:rsidRPr="004F3312">
        <w:rPr>
          <w:rFonts w:ascii="Rubik" w:hAnsi="Rubik" w:cs="Rubik" w:hint="cs"/>
          <w:sz w:val="18"/>
          <w:szCs w:val="18"/>
        </w:rPr>
        <w:t xml:space="preserve"> e LMCU</w:t>
      </w:r>
      <w:r w:rsidRPr="004F3312">
        <w:rPr>
          <w:rFonts w:ascii="Rubik" w:hAnsi="Rubik" w:cs="Rubik" w:hint="cs"/>
          <w:color w:val="FF0000"/>
          <w:sz w:val="18"/>
          <w:szCs w:val="18"/>
        </w:rPr>
        <w:t xml:space="preserve"> </w:t>
      </w:r>
      <w:r w:rsidRPr="004F3312">
        <w:rPr>
          <w:rFonts w:ascii="Rubik" w:hAnsi="Rubik" w:cs="Rubik" w:hint="cs"/>
          <w:sz w:val="18"/>
          <w:szCs w:val="18"/>
        </w:rPr>
        <w:t xml:space="preserve">infine sono riportate delle percentuali rispetto alla scelta del settore. </w:t>
      </w:r>
      <w:r w:rsidRPr="004F3312">
        <w:rPr>
          <w:rFonts w:ascii="Rubik" w:hAnsi="Rubik" w:cs="Rubik" w:hint="cs"/>
          <w:b/>
          <w:bCs/>
          <w:sz w:val="18"/>
          <w:szCs w:val="18"/>
        </w:rPr>
        <w:t>Rispetto alla rilevazione dei dati 2022, i dati 2024 mostrano un aumento degli impiegati nel pubblico (21,9%, dato 2024, versus 14,4% dato 2022),</w:t>
      </w:r>
      <w:r w:rsidR="007366E1" w:rsidRPr="004F3312">
        <w:rPr>
          <w:rFonts w:ascii="Rubik" w:hAnsi="Rubik" w:cs="Rubik" w:hint="cs"/>
          <w:b/>
          <w:bCs/>
          <w:sz w:val="18"/>
          <w:szCs w:val="18"/>
        </w:rPr>
        <w:t xml:space="preserve"> e un calo</w:t>
      </w:r>
      <w:r w:rsidRPr="004F3312">
        <w:rPr>
          <w:rFonts w:ascii="Rubik" w:hAnsi="Rubik" w:cs="Rubik" w:hint="cs"/>
          <w:b/>
          <w:bCs/>
          <w:sz w:val="18"/>
          <w:szCs w:val="18"/>
        </w:rPr>
        <w:t xml:space="preserve"> rispetto al privato (73,2%, dato 2024, contro l'80,3%, dato 2022) e al no-profit (4,8%, dato 2024, contro il 5,2%, dato 2022).</w:t>
      </w:r>
      <w:r w:rsidRPr="004F3312">
        <w:rPr>
          <w:rFonts w:ascii="Rubik" w:hAnsi="Rubik" w:cs="Rubik" w:hint="cs"/>
          <w:sz w:val="18"/>
          <w:szCs w:val="18"/>
        </w:rPr>
        <w:t xml:space="preserve"> </w:t>
      </w:r>
    </w:p>
    <w:p w14:paraId="629C43CA" w14:textId="77777777" w:rsidR="004F3312" w:rsidRPr="004F3312" w:rsidRDefault="004F3312" w:rsidP="000268E4">
      <w:pPr>
        <w:jc w:val="both"/>
        <w:rPr>
          <w:rFonts w:ascii="Rubik" w:hAnsi="Rubik" w:cs="Rubik"/>
          <w:strike/>
          <w:sz w:val="18"/>
          <w:szCs w:val="18"/>
        </w:rPr>
      </w:pPr>
    </w:p>
    <w:p w14:paraId="5A9D4EB1" w14:textId="771458B6" w:rsidR="004F3312" w:rsidRPr="004F3312" w:rsidRDefault="006E6E0D" w:rsidP="000268E4">
      <w:pPr>
        <w:jc w:val="both"/>
        <w:rPr>
          <w:rFonts w:ascii="Rubik" w:hAnsi="Rubik" w:cs="Rubik"/>
          <w:i/>
          <w:iCs/>
          <w:strike/>
          <w:sz w:val="18"/>
          <w:szCs w:val="18"/>
        </w:rPr>
      </w:pPr>
      <w:r w:rsidRPr="004F3312">
        <w:rPr>
          <w:rFonts w:ascii="Rubik" w:hAnsi="Rubik" w:cs="Rubik" w:hint="cs"/>
          <w:sz w:val="18"/>
          <w:szCs w:val="18"/>
        </w:rPr>
        <w:t xml:space="preserve">Commenta il Rettore prof. </w:t>
      </w:r>
      <w:r w:rsidRPr="004F3312">
        <w:rPr>
          <w:rFonts w:ascii="Rubik" w:hAnsi="Rubik" w:cs="Rubik" w:hint="cs"/>
          <w:b/>
          <w:bCs/>
          <w:sz w:val="18"/>
          <w:szCs w:val="18"/>
        </w:rPr>
        <w:t>Sergio Cavalieri</w:t>
      </w:r>
      <w:r w:rsidRPr="004F3312">
        <w:rPr>
          <w:rFonts w:ascii="Rubik" w:hAnsi="Rubik" w:cs="Rubik" w:hint="cs"/>
          <w:sz w:val="18"/>
          <w:szCs w:val="18"/>
        </w:rPr>
        <w:t>:</w:t>
      </w:r>
      <w:r w:rsidR="004F3312" w:rsidRPr="004F3312">
        <w:rPr>
          <w:rFonts w:ascii="Rubik" w:hAnsi="Rubik" w:cs="Rubik" w:hint="cs"/>
          <w:sz w:val="18"/>
          <w:szCs w:val="18"/>
        </w:rPr>
        <w:t xml:space="preserve"> </w:t>
      </w:r>
      <w:r w:rsidR="004F3312" w:rsidRPr="004F3312">
        <w:rPr>
          <w:rFonts w:ascii="Rubik" w:hAnsi="Rubik" w:cs="Rubik" w:hint="cs"/>
          <w:i/>
          <w:iCs/>
          <w:sz w:val="18"/>
          <w:szCs w:val="18"/>
        </w:rPr>
        <w:t>"I risultati emersi dal confronto con i dati AlmaLaurea confermano l’impegno dell’Università di Bergamo nel promuovere percorsi formativi di qualità, capaci di offrire ai nostri studenti e laureati opportunità sempre più ampie. L’aumento della mobilità internazionale, dell’occupazione e della soddisfazione post-laurea testimoniano un’evoluzione coerente con le esigenze del mondo del lavoro e con la nostra missione di apertura e innovazione. È importante sottolineare che i dati AlmaLaurea rappresentano per il nostro Ateneo un riferimento fondamentale per comprendere meglio dove indirizzare le nostre azioni rivolte al miglioramento della qualità della didattica e dei servizi ad essa correlati, permettendoci così di rispondere in modo sempre più efficace alle esigenze degli studenti e del territorio."</w:t>
      </w:r>
    </w:p>
    <w:sectPr w:rsidR="004F3312" w:rsidRPr="004F3312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D64E" w14:textId="77777777" w:rsidR="00EE68AF" w:rsidRDefault="00EE68AF">
      <w:r>
        <w:separator/>
      </w:r>
    </w:p>
  </w:endnote>
  <w:endnote w:type="continuationSeparator" w:id="0">
    <w:p w14:paraId="4198B0AA" w14:textId="77777777" w:rsidR="00EE68AF" w:rsidRDefault="00E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7F5E" w14:textId="77777777" w:rsidR="00EE68AF" w:rsidRDefault="00EE68AF">
      <w:r>
        <w:separator/>
      </w:r>
    </w:p>
  </w:footnote>
  <w:footnote w:type="continuationSeparator" w:id="0">
    <w:p w14:paraId="687F2DD2" w14:textId="77777777" w:rsidR="00EE68AF" w:rsidRDefault="00EE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8AF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EE68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8AF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177E9"/>
    <w:rsid w:val="00025D19"/>
    <w:rsid w:val="000268E4"/>
    <w:rsid w:val="000434F5"/>
    <w:rsid w:val="00047A62"/>
    <w:rsid w:val="00060A6D"/>
    <w:rsid w:val="00094222"/>
    <w:rsid w:val="00095626"/>
    <w:rsid w:val="000975ED"/>
    <w:rsid w:val="000A3070"/>
    <w:rsid w:val="000A5632"/>
    <w:rsid w:val="000C7141"/>
    <w:rsid w:val="000D12C0"/>
    <w:rsid w:val="000D4AC0"/>
    <w:rsid w:val="000D6C04"/>
    <w:rsid w:val="000E2907"/>
    <w:rsid w:val="001005DA"/>
    <w:rsid w:val="00102624"/>
    <w:rsid w:val="00103B96"/>
    <w:rsid w:val="0012098F"/>
    <w:rsid w:val="00126815"/>
    <w:rsid w:val="00126FAB"/>
    <w:rsid w:val="001306FA"/>
    <w:rsid w:val="00130B07"/>
    <w:rsid w:val="00135484"/>
    <w:rsid w:val="00160527"/>
    <w:rsid w:val="001611B8"/>
    <w:rsid w:val="00162F49"/>
    <w:rsid w:val="001727BC"/>
    <w:rsid w:val="0017493A"/>
    <w:rsid w:val="00180F2A"/>
    <w:rsid w:val="00186E51"/>
    <w:rsid w:val="001A3A45"/>
    <w:rsid w:val="001B249A"/>
    <w:rsid w:val="001B6B89"/>
    <w:rsid w:val="001C2D0B"/>
    <w:rsid w:val="001C3D94"/>
    <w:rsid w:val="001C704A"/>
    <w:rsid w:val="001D4416"/>
    <w:rsid w:val="001D5E33"/>
    <w:rsid w:val="001D666A"/>
    <w:rsid w:val="001D6C55"/>
    <w:rsid w:val="001D70D0"/>
    <w:rsid w:val="001F0D20"/>
    <w:rsid w:val="00201407"/>
    <w:rsid w:val="00207010"/>
    <w:rsid w:val="002266D1"/>
    <w:rsid w:val="00245167"/>
    <w:rsid w:val="00252858"/>
    <w:rsid w:val="0025485F"/>
    <w:rsid w:val="00256742"/>
    <w:rsid w:val="00261058"/>
    <w:rsid w:val="002640B0"/>
    <w:rsid w:val="00266513"/>
    <w:rsid w:val="00267ABD"/>
    <w:rsid w:val="00271BE8"/>
    <w:rsid w:val="0027240D"/>
    <w:rsid w:val="0027512F"/>
    <w:rsid w:val="002805DB"/>
    <w:rsid w:val="00284CA6"/>
    <w:rsid w:val="002A7937"/>
    <w:rsid w:val="002D069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444E4"/>
    <w:rsid w:val="00350D91"/>
    <w:rsid w:val="003605F2"/>
    <w:rsid w:val="00366CB0"/>
    <w:rsid w:val="00372306"/>
    <w:rsid w:val="003822A4"/>
    <w:rsid w:val="00393E25"/>
    <w:rsid w:val="00397809"/>
    <w:rsid w:val="003A19A4"/>
    <w:rsid w:val="003C7E36"/>
    <w:rsid w:val="003D5929"/>
    <w:rsid w:val="003D608C"/>
    <w:rsid w:val="003F10BC"/>
    <w:rsid w:val="003F4AC0"/>
    <w:rsid w:val="00404C79"/>
    <w:rsid w:val="0040789F"/>
    <w:rsid w:val="00412268"/>
    <w:rsid w:val="00414613"/>
    <w:rsid w:val="00424D5F"/>
    <w:rsid w:val="00425C2B"/>
    <w:rsid w:val="00426E6A"/>
    <w:rsid w:val="0044264F"/>
    <w:rsid w:val="00447474"/>
    <w:rsid w:val="0046348B"/>
    <w:rsid w:val="004772CE"/>
    <w:rsid w:val="00485F68"/>
    <w:rsid w:val="00491F41"/>
    <w:rsid w:val="00493921"/>
    <w:rsid w:val="0049562F"/>
    <w:rsid w:val="004A1443"/>
    <w:rsid w:val="004A5C2E"/>
    <w:rsid w:val="004B3326"/>
    <w:rsid w:val="004C10B9"/>
    <w:rsid w:val="004C2EAE"/>
    <w:rsid w:val="004C3806"/>
    <w:rsid w:val="004C4159"/>
    <w:rsid w:val="004C7DBE"/>
    <w:rsid w:val="004D4D81"/>
    <w:rsid w:val="004E1E80"/>
    <w:rsid w:val="004E7E4D"/>
    <w:rsid w:val="004F1235"/>
    <w:rsid w:val="004F3312"/>
    <w:rsid w:val="004F485D"/>
    <w:rsid w:val="00505C85"/>
    <w:rsid w:val="0051455E"/>
    <w:rsid w:val="0052417B"/>
    <w:rsid w:val="00525EB0"/>
    <w:rsid w:val="005442B8"/>
    <w:rsid w:val="00545251"/>
    <w:rsid w:val="00572492"/>
    <w:rsid w:val="00575179"/>
    <w:rsid w:val="005762C2"/>
    <w:rsid w:val="0058734C"/>
    <w:rsid w:val="005926A2"/>
    <w:rsid w:val="005A0AD6"/>
    <w:rsid w:val="005B109E"/>
    <w:rsid w:val="005B42D2"/>
    <w:rsid w:val="005B4C95"/>
    <w:rsid w:val="005C5BAF"/>
    <w:rsid w:val="005E08BF"/>
    <w:rsid w:val="005E1D5B"/>
    <w:rsid w:val="005F0829"/>
    <w:rsid w:val="006048D4"/>
    <w:rsid w:val="006403B2"/>
    <w:rsid w:val="00643C3F"/>
    <w:rsid w:val="006534ED"/>
    <w:rsid w:val="006570EE"/>
    <w:rsid w:val="00671017"/>
    <w:rsid w:val="006A5228"/>
    <w:rsid w:val="006C1C00"/>
    <w:rsid w:val="006C372E"/>
    <w:rsid w:val="006C58F4"/>
    <w:rsid w:val="006C6905"/>
    <w:rsid w:val="006E4C37"/>
    <w:rsid w:val="006E6E0D"/>
    <w:rsid w:val="006F4D9F"/>
    <w:rsid w:val="006F6923"/>
    <w:rsid w:val="00702FB2"/>
    <w:rsid w:val="00703F46"/>
    <w:rsid w:val="007135A3"/>
    <w:rsid w:val="007247DB"/>
    <w:rsid w:val="00726E06"/>
    <w:rsid w:val="00734E3E"/>
    <w:rsid w:val="007366E1"/>
    <w:rsid w:val="00737D94"/>
    <w:rsid w:val="00747A5C"/>
    <w:rsid w:val="007542A1"/>
    <w:rsid w:val="00774899"/>
    <w:rsid w:val="007755E9"/>
    <w:rsid w:val="00785440"/>
    <w:rsid w:val="00785C9A"/>
    <w:rsid w:val="007917F4"/>
    <w:rsid w:val="007A66F7"/>
    <w:rsid w:val="007A6D90"/>
    <w:rsid w:val="007B31E7"/>
    <w:rsid w:val="007C19B3"/>
    <w:rsid w:val="007C29C7"/>
    <w:rsid w:val="007F2F89"/>
    <w:rsid w:val="007F4361"/>
    <w:rsid w:val="00801F4E"/>
    <w:rsid w:val="00820185"/>
    <w:rsid w:val="008231F1"/>
    <w:rsid w:val="00833F4A"/>
    <w:rsid w:val="00835154"/>
    <w:rsid w:val="008540E7"/>
    <w:rsid w:val="00857C7B"/>
    <w:rsid w:val="008953A3"/>
    <w:rsid w:val="008964D8"/>
    <w:rsid w:val="008C2DE6"/>
    <w:rsid w:val="008C6AC6"/>
    <w:rsid w:val="008D4802"/>
    <w:rsid w:val="008D62E7"/>
    <w:rsid w:val="008E76CB"/>
    <w:rsid w:val="008F1126"/>
    <w:rsid w:val="008F443F"/>
    <w:rsid w:val="009115F4"/>
    <w:rsid w:val="00923C67"/>
    <w:rsid w:val="00934173"/>
    <w:rsid w:val="00943013"/>
    <w:rsid w:val="00945112"/>
    <w:rsid w:val="00947A6A"/>
    <w:rsid w:val="00953D7B"/>
    <w:rsid w:val="0095762E"/>
    <w:rsid w:val="00976D8E"/>
    <w:rsid w:val="00986CF4"/>
    <w:rsid w:val="00987196"/>
    <w:rsid w:val="00992D0E"/>
    <w:rsid w:val="009A4C79"/>
    <w:rsid w:val="009B0F7B"/>
    <w:rsid w:val="009C2DF4"/>
    <w:rsid w:val="009D536F"/>
    <w:rsid w:val="009E511D"/>
    <w:rsid w:val="009E79E9"/>
    <w:rsid w:val="009F4F5B"/>
    <w:rsid w:val="009F5BC3"/>
    <w:rsid w:val="009F6F8B"/>
    <w:rsid w:val="00A025A6"/>
    <w:rsid w:val="00A04FB3"/>
    <w:rsid w:val="00A20987"/>
    <w:rsid w:val="00A23A14"/>
    <w:rsid w:val="00A61283"/>
    <w:rsid w:val="00A61B75"/>
    <w:rsid w:val="00A62098"/>
    <w:rsid w:val="00A73B8E"/>
    <w:rsid w:val="00A756C9"/>
    <w:rsid w:val="00A76F51"/>
    <w:rsid w:val="00A7713C"/>
    <w:rsid w:val="00A80F6D"/>
    <w:rsid w:val="00A95869"/>
    <w:rsid w:val="00AA1DBF"/>
    <w:rsid w:val="00AB35C4"/>
    <w:rsid w:val="00AC4C9E"/>
    <w:rsid w:val="00AE38F7"/>
    <w:rsid w:val="00AE4AC8"/>
    <w:rsid w:val="00AE7772"/>
    <w:rsid w:val="00AF28D3"/>
    <w:rsid w:val="00AF7767"/>
    <w:rsid w:val="00B0291B"/>
    <w:rsid w:val="00B11117"/>
    <w:rsid w:val="00B24BFD"/>
    <w:rsid w:val="00B24FF1"/>
    <w:rsid w:val="00B2715C"/>
    <w:rsid w:val="00B303AF"/>
    <w:rsid w:val="00B54D30"/>
    <w:rsid w:val="00B624E0"/>
    <w:rsid w:val="00B659EC"/>
    <w:rsid w:val="00B70E22"/>
    <w:rsid w:val="00B8103A"/>
    <w:rsid w:val="00B845B2"/>
    <w:rsid w:val="00B908CD"/>
    <w:rsid w:val="00B95EEE"/>
    <w:rsid w:val="00BA02CF"/>
    <w:rsid w:val="00BC42D5"/>
    <w:rsid w:val="00BC7A7D"/>
    <w:rsid w:val="00BD4D58"/>
    <w:rsid w:val="00BE1FFE"/>
    <w:rsid w:val="00BE6648"/>
    <w:rsid w:val="00C02775"/>
    <w:rsid w:val="00C23F79"/>
    <w:rsid w:val="00C30B28"/>
    <w:rsid w:val="00C4263A"/>
    <w:rsid w:val="00C43326"/>
    <w:rsid w:val="00C4760E"/>
    <w:rsid w:val="00C47A78"/>
    <w:rsid w:val="00C640A1"/>
    <w:rsid w:val="00C73F96"/>
    <w:rsid w:val="00C740AF"/>
    <w:rsid w:val="00C9095A"/>
    <w:rsid w:val="00CA1546"/>
    <w:rsid w:val="00CA257E"/>
    <w:rsid w:val="00CC4769"/>
    <w:rsid w:val="00CE1FB9"/>
    <w:rsid w:val="00CF7508"/>
    <w:rsid w:val="00D00EC9"/>
    <w:rsid w:val="00D0195F"/>
    <w:rsid w:val="00D126B7"/>
    <w:rsid w:val="00D249F2"/>
    <w:rsid w:val="00D269AB"/>
    <w:rsid w:val="00D34401"/>
    <w:rsid w:val="00D36B0E"/>
    <w:rsid w:val="00D408B3"/>
    <w:rsid w:val="00D70A43"/>
    <w:rsid w:val="00D73BB7"/>
    <w:rsid w:val="00D75739"/>
    <w:rsid w:val="00D914A4"/>
    <w:rsid w:val="00D94562"/>
    <w:rsid w:val="00DA2017"/>
    <w:rsid w:val="00DB3BAF"/>
    <w:rsid w:val="00DC588B"/>
    <w:rsid w:val="00DC5AD5"/>
    <w:rsid w:val="00DC6FC9"/>
    <w:rsid w:val="00DD2789"/>
    <w:rsid w:val="00DE22A4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51A65"/>
    <w:rsid w:val="00E9359C"/>
    <w:rsid w:val="00E97B2F"/>
    <w:rsid w:val="00EB7F25"/>
    <w:rsid w:val="00ED4A9B"/>
    <w:rsid w:val="00EE68AF"/>
    <w:rsid w:val="00EF2C8D"/>
    <w:rsid w:val="00EF7365"/>
    <w:rsid w:val="00F02708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1828"/>
    <w:rsid w:val="00F65783"/>
    <w:rsid w:val="00F805FF"/>
    <w:rsid w:val="00F93470"/>
    <w:rsid w:val="00F95E43"/>
    <w:rsid w:val="00F9680F"/>
    <w:rsid w:val="00F97147"/>
    <w:rsid w:val="00FA38B4"/>
    <w:rsid w:val="00FB59AA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lmalaure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Crippa</dc:creator>
  <cp:lastModifiedBy>Martina Cerea</cp:lastModifiedBy>
  <cp:revision>9</cp:revision>
  <dcterms:created xsi:type="dcterms:W3CDTF">2025-06-10T13:43:00Z</dcterms:created>
  <dcterms:modified xsi:type="dcterms:W3CDTF">2025-06-10T14:42:00Z</dcterms:modified>
</cp:coreProperties>
</file>