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13126" w14:textId="5DFC2CE0" w:rsidR="00662AE0" w:rsidRPr="00246A81" w:rsidRDefault="007F7300" w:rsidP="00662AE0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eastAsiaTheme="majorEastAsia" w:hAnsi="Rubik" w:cs="Rubik"/>
          <w:b w:val="0"/>
          <w:bCs w:val="0"/>
          <w:sz w:val="22"/>
          <w:szCs w:val="22"/>
          <w:u w:val="single"/>
        </w:rPr>
      </w:pPr>
      <w:r w:rsidRPr="00246A81">
        <w:rPr>
          <w:rStyle w:val="Enfasigrassetto"/>
          <w:rFonts w:ascii="Rubik" w:eastAsiaTheme="majorEastAsia" w:hAnsi="Rubik" w:cs="Rubik"/>
          <w:b w:val="0"/>
          <w:bCs w:val="0"/>
          <w:sz w:val="22"/>
          <w:szCs w:val="22"/>
          <w:u w:val="single"/>
        </w:rPr>
        <w:t>COMUNICATO</w:t>
      </w:r>
      <w:r w:rsidR="00662AE0" w:rsidRPr="00246A81">
        <w:rPr>
          <w:rStyle w:val="Enfasigrassetto"/>
          <w:rFonts w:ascii="Rubik" w:eastAsiaTheme="majorEastAsia" w:hAnsi="Rubik" w:cs="Rubik"/>
          <w:b w:val="0"/>
          <w:bCs w:val="0"/>
          <w:sz w:val="22"/>
          <w:szCs w:val="22"/>
          <w:u w:val="single"/>
        </w:rPr>
        <w:t xml:space="preserve"> STAMPA</w:t>
      </w:r>
    </w:p>
    <w:p w14:paraId="780764EE" w14:textId="77777777" w:rsidR="00662AE0" w:rsidRPr="002E4578" w:rsidRDefault="00662AE0" w:rsidP="00662AE0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eastAsiaTheme="majorEastAsia" w:hAnsi="Rubik" w:cs="Rubik"/>
          <w:b w:val="0"/>
          <w:bCs w:val="0"/>
          <w:sz w:val="26"/>
          <w:szCs w:val="26"/>
          <w:u w:val="single"/>
        </w:rPr>
      </w:pPr>
    </w:p>
    <w:p w14:paraId="15BE14D7" w14:textId="7887148A" w:rsidR="002E4578" w:rsidRDefault="002E4578" w:rsidP="002E4578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eastAsiaTheme="majorEastAsia" w:hAnsi="Rubik" w:cs="Rubik"/>
          <w:sz w:val="26"/>
          <w:szCs w:val="26"/>
        </w:rPr>
      </w:pPr>
      <w:r>
        <w:rPr>
          <w:rStyle w:val="Enfasigrassetto"/>
          <w:rFonts w:ascii="Rubik" w:eastAsiaTheme="majorEastAsia" w:hAnsi="Rubik" w:cs="Rubik"/>
          <w:sz w:val="26"/>
          <w:szCs w:val="26"/>
        </w:rPr>
        <w:t>DOTTORATI</w:t>
      </w:r>
      <w:r w:rsidRPr="002E4578">
        <w:rPr>
          <w:rStyle w:val="Enfasigrassetto"/>
          <w:rFonts w:ascii="Rubik" w:eastAsiaTheme="majorEastAsia" w:hAnsi="Rubik" w:cs="Rubik"/>
          <w:sz w:val="26"/>
          <w:szCs w:val="26"/>
        </w:rPr>
        <w:t xml:space="preserve">: </w:t>
      </w:r>
      <w:r w:rsidR="008D55CA">
        <w:rPr>
          <w:rStyle w:val="Enfasigrassetto"/>
          <w:rFonts w:ascii="Rubik" w:eastAsiaTheme="majorEastAsia" w:hAnsi="Rubik" w:cs="Rubik"/>
          <w:sz w:val="26"/>
          <w:szCs w:val="26"/>
        </w:rPr>
        <w:t>RECORD</w:t>
      </w:r>
      <w:r w:rsidR="008D55CA" w:rsidRPr="002E4578">
        <w:rPr>
          <w:rStyle w:val="Enfasigrassetto"/>
          <w:rFonts w:ascii="Rubik" w:eastAsiaTheme="majorEastAsia" w:hAnsi="Rubik" w:cs="Rubik"/>
          <w:sz w:val="26"/>
          <w:szCs w:val="26"/>
        </w:rPr>
        <w:t xml:space="preserve"> </w:t>
      </w:r>
      <w:r w:rsidRPr="002E4578">
        <w:rPr>
          <w:rStyle w:val="Enfasigrassetto"/>
          <w:rFonts w:ascii="Rubik" w:eastAsiaTheme="majorEastAsia" w:hAnsi="Rubik" w:cs="Rubik"/>
          <w:sz w:val="26"/>
          <w:szCs w:val="26"/>
        </w:rPr>
        <w:t>DI CANDIDATURE PER IL XLI CICLO</w:t>
      </w:r>
    </w:p>
    <w:p w14:paraId="1E6AD2C6" w14:textId="2E631670" w:rsidR="002E4578" w:rsidRPr="002E4578" w:rsidRDefault="002E4578" w:rsidP="002E4578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eastAsiaTheme="majorEastAsia" w:hAnsi="Rubik" w:cs="Rubik"/>
        </w:rPr>
      </w:pPr>
    </w:p>
    <w:p w14:paraId="042424A7" w14:textId="712BE0CD" w:rsidR="002E4578" w:rsidRDefault="002E4578" w:rsidP="002E4578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eastAsiaTheme="majorEastAsia" w:hAnsi="Rubik" w:cs="Rubik"/>
          <w:sz w:val="26"/>
          <w:szCs w:val="26"/>
        </w:rPr>
      </w:pPr>
      <w:r>
        <w:rPr>
          <w:rStyle w:val="Enfasigrassetto"/>
          <w:rFonts w:ascii="Rubik" w:eastAsiaTheme="majorEastAsia" w:hAnsi="Rubik" w:cs="Rubik"/>
          <w:sz w:val="26"/>
          <w:szCs w:val="26"/>
        </w:rPr>
        <w:t xml:space="preserve">UNIBG INTRODUCE </w:t>
      </w:r>
      <w:r w:rsidRPr="002E4578">
        <w:rPr>
          <w:rStyle w:val="Enfasigrassetto"/>
          <w:rFonts w:ascii="Rubik" w:eastAsiaTheme="majorEastAsia" w:hAnsi="Rubik" w:cs="Rubik"/>
          <w:sz w:val="26"/>
          <w:szCs w:val="26"/>
        </w:rPr>
        <w:t>I</w:t>
      </w:r>
      <w:r>
        <w:rPr>
          <w:rStyle w:val="Enfasigrassetto"/>
          <w:rFonts w:ascii="Rubik" w:eastAsiaTheme="majorEastAsia" w:hAnsi="Rubik" w:cs="Rubik"/>
          <w:sz w:val="26"/>
          <w:szCs w:val="26"/>
        </w:rPr>
        <w:t xml:space="preserve"> PERCORSI </w:t>
      </w:r>
      <w:r w:rsidR="00D56DA9">
        <w:rPr>
          <w:rStyle w:val="Enfasigrassetto"/>
          <w:rFonts w:ascii="Rubik" w:eastAsiaTheme="majorEastAsia" w:hAnsi="Rubik" w:cs="Rubik"/>
          <w:sz w:val="26"/>
          <w:szCs w:val="26"/>
        </w:rPr>
        <w:t xml:space="preserve">DI FORMAZIONE DOTTORALE </w:t>
      </w:r>
      <w:r w:rsidRPr="002E4578">
        <w:rPr>
          <w:rStyle w:val="Enfasigrassetto"/>
          <w:rFonts w:ascii="Rubik" w:eastAsiaTheme="majorEastAsia" w:hAnsi="Rubik" w:cs="Rubik"/>
          <w:sz w:val="26"/>
          <w:szCs w:val="26"/>
        </w:rPr>
        <w:t xml:space="preserve">EXECUTIVE </w:t>
      </w:r>
      <w:r w:rsidR="00D56DA9">
        <w:rPr>
          <w:rStyle w:val="Enfasigrassetto"/>
          <w:rFonts w:ascii="Rubik" w:eastAsiaTheme="majorEastAsia" w:hAnsi="Rubik" w:cs="Rubik"/>
          <w:sz w:val="26"/>
          <w:szCs w:val="26"/>
        </w:rPr>
        <w:t xml:space="preserve">RIVOLTI A PROFESSIONISTI </w:t>
      </w:r>
      <w:r w:rsidRPr="002E4578">
        <w:rPr>
          <w:rStyle w:val="Enfasigrassetto"/>
          <w:rFonts w:ascii="Rubik" w:eastAsiaTheme="majorEastAsia" w:hAnsi="Rubik" w:cs="Rubik"/>
          <w:sz w:val="26"/>
          <w:szCs w:val="26"/>
        </w:rPr>
        <w:t>PER RAFFORZARE IL LEGAME C</w:t>
      </w:r>
      <w:r w:rsidR="00D56DA9">
        <w:rPr>
          <w:rStyle w:val="Enfasigrassetto"/>
          <w:rFonts w:ascii="Rubik" w:eastAsiaTheme="majorEastAsia" w:hAnsi="Rubik" w:cs="Rubik"/>
          <w:sz w:val="26"/>
          <w:szCs w:val="26"/>
        </w:rPr>
        <w:t xml:space="preserve">ON AZIENDE </w:t>
      </w:r>
      <w:r w:rsidRPr="002E4578">
        <w:rPr>
          <w:rStyle w:val="Enfasigrassetto"/>
          <w:rFonts w:ascii="Rubik" w:eastAsiaTheme="majorEastAsia" w:hAnsi="Rubik" w:cs="Rubik"/>
          <w:sz w:val="26"/>
          <w:szCs w:val="26"/>
        </w:rPr>
        <w:t>E TERRITORIO</w:t>
      </w:r>
    </w:p>
    <w:p w14:paraId="3AFB72D3" w14:textId="77777777" w:rsidR="002E4578" w:rsidRDefault="002E4578" w:rsidP="002E4578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eastAsiaTheme="majorEastAsia" w:hAnsi="Rubik" w:cs="Rubik"/>
          <w:sz w:val="26"/>
          <w:szCs w:val="26"/>
        </w:rPr>
      </w:pPr>
    </w:p>
    <w:p w14:paraId="45A8A4AB" w14:textId="4A7A8B84" w:rsidR="00942DC6" w:rsidRPr="00186E20" w:rsidRDefault="002E4578" w:rsidP="00942DC6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2E4578">
        <w:rPr>
          <w:rFonts w:ascii="Rubik" w:hAnsi="Rubik" w:cs="Rubik" w:hint="cs"/>
          <w:i/>
          <w:iCs/>
          <w:sz w:val="22"/>
          <w:szCs w:val="22"/>
        </w:rPr>
        <w:t xml:space="preserve">Bergamo, </w:t>
      </w:r>
      <w:r w:rsidR="00AE56CE">
        <w:rPr>
          <w:rFonts w:ascii="Rubik" w:hAnsi="Rubik" w:cs="Rubik"/>
          <w:i/>
          <w:iCs/>
          <w:sz w:val="22"/>
          <w:szCs w:val="22"/>
        </w:rPr>
        <w:t xml:space="preserve">9 </w:t>
      </w:r>
      <w:r w:rsidRPr="002E4578">
        <w:rPr>
          <w:rFonts w:ascii="Rubik" w:hAnsi="Rubik" w:cs="Rubik" w:hint="cs"/>
          <w:i/>
          <w:iCs/>
          <w:sz w:val="22"/>
          <w:szCs w:val="22"/>
        </w:rPr>
        <w:t>luglio 2025</w:t>
      </w:r>
      <w:r w:rsidRPr="002E4578">
        <w:rPr>
          <w:rFonts w:ascii="Rubik" w:hAnsi="Rubik" w:cs="Rubik" w:hint="cs"/>
          <w:sz w:val="22"/>
          <w:szCs w:val="22"/>
        </w:rPr>
        <w:t xml:space="preserve"> – L’Università degli studi di Bergamo conferma il ruolo strategico dei dottorati di ricerca nella propria missione formativa e scientifica. Con l’avvio del </w:t>
      </w:r>
      <w:r w:rsidRPr="002E4578">
        <w:rPr>
          <w:rFonts w:ascii="Rubik" w:hAnsi="Rubik" w:cs="Rubik" w:hint="cs"/>
          <w:b/>
          <w:bCs/>
          <w:sz w:val="22"/>
          <w:szCs w:val="22"/>
        </w:rPr>
        <w:t>XLI ciclo</w:t>
      </w:r>
      <w:r w:rsidRPr="002E4578">
        <w:rPr>
          <w:rFonts w:ascii="Rubik" w:hAnsi="Rubik" w:cs="Rubik" w:hint="cs"/>
          <w:sz w:val="22"/>
          <w:szCs w:val="22"/>
        </w:rPr>
        <w:t xml:space="preserve">, l’Ateneo consolida il proprio investimento nella formazione avanzata e registra </w:t>
      </w:r>
      <w:r w:rsidRPr="002E4578">
        <w:rPr>
          <w:rFonts w:ascii="Rubik" w:hAnsi="Rubik" w:cs="Rubik" w:hint="cs"/>
          <w:b/>
          <w:bCs/>
          <w:sz w:val="22"/>
          <w:szCs w:val="22"/>
        </w:rPr>
        <w:t>un nuovo record di candidature</w:t>
      </w:r>
      <w:r w:rsidRPr="002E4578">
        <w:rPr>
          <w:rFonts w:ascii="Rubik" w:hAnsi="Rubik" w:cs="Rubik" w:hint="cs"/>
          <w:sz w:val="22"/>
          <w:szCs w:val="22"/>
        </w:rPr>
        <w:t xml:space="preserve">: sono state infatti </w:t>
      </w:r>
      <w:r w:rsidRPr="002E4578">
        <w:rPr>
          <w:rFonts w:ascii="Rubik" w:hAnsi="Rubik" w:cs="Rubik" w:hint="cs"/>
          <w:b/>
          <w:bCs/>
          <w:sz w:val="22"/>
          <w:szCs w:val="22"/>
        </w:rPr>
        <w:t>620 le domande presentate</w:t>
      </w:r>
      <w:r w:rsidRPr="002E4578">
        <w:rPr>
          <w:rFonts w:ascii="Rubik" w:hAnsi="Rubik" w:cs="Rubik" w:hint="cs"/>
          <w:sz w:val="22"/>
          <w:szCs w:val="22"/>
        </w:rPr>
        <w:t xml:space="preserve">, a fronte di </w:t>
      </w:r>
      <w:r w:rsidRPr="002E4578">
        <w:rPr>
          <w:rFonts w:ascii="Rubik" w:hAnsi="Rubik" w:cs="Rubik" w:hint="cs"/>
          <w:b/>
          <w:bCs/>
          <w:sz w:val="22"/>
          <w:szCs w:val="22"/>
        </w:rPr>
        <w:t>69 posti disponibili</w:t>
      </w:r>
      <w:r w:rsidRPr="002E4578">
        <w:rPr>
          <w:rFonts w:ascii="Rubik" w:hAnsi="Rubik" w:cs="Rubik" w:hint="cs"/>
          <w:sz w:val="22"/>
          <w:szCs w:val="22"/>
        </w:rPr>
        <w:t xml:space="preserve">, di cui </w:t>
      </w:r>
      <w:r w:rsidRPr="002E4578">
        <w:rPr>
          <w:rFonts w:ascii="Rubik" w:hAnsi="Rubik" w:cs="Rubik" w:hint="cs"/>
          <w:b/>
          <w:bCs/>
          <w:sz w:val="22"/>
          <w:szCs w:val="22"/>
        </w:rPr>
        <w:t>56 con borsa</w:t>
      </w:r>
      <w:r w:rsidRPr="002E4578">
        <w:rPr>
          <w:rFonts w:ascii="Rubik" w:hAnsi="Rubik" w:cs="Rubik" w:hint="cs"/>
          <w:sz w:val="22"/>
          <w:szCs w:val="22"/>
        </w:rPr>
        <w:t xml:space="preserve">. Un dato che segna un </w:t>
      </w:r>
      <w:r w:rsidRPr="002E4578">
        <w:rPr>
          <w:rFonts w:ascii="Rubik" w:hAnsi="Rubik" w:cs="Rubik" w:hint="cs"/>
          <w:b/>
          <w:bCs/>
          <w:sz w:val="22"/>
          <w:szCs w:val="22"/>
        </w:rPr>
        <w:t>incremento del 33% rispetto all’anno precedente</w:t>
      </w:r>
      <w:r w:rsidRPr="002E4578">
        <w:rPr>
          <w:rFonts w:ascii="Rubik" w:hAnsi="Rubik" w:cs="Rubik" w:hint="cs"/>
          <w:sz w:val="22"/>
          <w:szCs w:val="22"/>
        </w:rPr>
        <w:t>, e che evidenzia una crescita di interesse anche a livello internazionale.</w:t>
      </w:r>
    </w:p>
    <w:p w14:paraId="3E3F354A" w14:textId="77777777" w:rsidR="00942DC6" w:rsidRPr="00186E20" w:rsidRDefault="00942DC6" w:rsidP="00942DC6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0C8014EF" w14:textId="77777777" w:rsidR="00942DC6" w:rsidRPr="00186E20" w:rsidRDefault="002E4578" w:rsidP="00942DC6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2E4578">
        <w:rPr>
          <w:rFonts w:ascii="Rubik" w:hAnsi="Rubik" w:cs="Rubik" w:hint="cs"/>
          <w:sz w:val="22"/>
          <w:szCs w:val="22"/>
        </w:rPr>
        <w:t>Il successo del bando conferma l’attrattività dei percorsi dottorali dell’Università di Bergamo, sempre più percepiti come leva di sviluppo culturale, scientifico e professionale. La formazione dottorale dell’Ateneo si rivolge non solo al mondo accademico, ma anche a imprese, enti pubblici e organizzazioni del terzo settore, attraverso modelli innovativi e flessibili.</w:t>
      </w:r>
    </w:p>
    <w:p w14:paraId="33FC1B8D" w14:textId="77777777" w:rsidR="00942DC6" w:rsidRPr="00186E20" w:rsidRDefault="00942DC6" w:rsidP="00942DC6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48737C85" w14:textId="10C62199" w:rsidR="002C0FB0" w:rsidRPr="00186E20" w:rsidRDefault="00942DC6" w:rsidP="002C0FB0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186E20">
        <w:rPr>
          <w:rFonts w:ascii="Rubik" w:hAnsi="Rubik" w:cs="Rubik"/>
          <w:sz w:val="22"/>
          <w:szCs w:val="22"/>
        </w:rPr>
        <w:t xml:space="preserve">Oltre ai due nuovi corsi in </w:t>
      </w:r>
      <w:r w:rsidRPr="00186E20">
        <w:rPr>
          <w:rFonts w:ascii="Rubik" w:hAnsi="Rubik" w:cs="Rubik"/>
          <w:i/>
          <w:iCs/>
          <w:sz w:val="22"/>
          <w:szCs w:val="22"/>
        </w:rPr>
        <w:t>Artificial Intelligence for Sustainable Futures</w:t>
      </w:r>
      <w:r w:rsidRPr="00186E20">
        <w:rPr>
          <w:rFonts w:ascii="Rubik" w:hAnsi="Rubik" w:cs="Rubik"/>
          <w:sz w:val="22"/>
          <w:szCs w:val="22"/>
        </w:rPr>
        <w:t xml:space="preserve"> (in lingua inglese) e </w:t>
      </w:r>
      <w:r w:rsidRPr="00186E20">
        <w:rPr>
          <w:rFonts w:ascii="Rubik" w:hAnsi="Rubik" w:cs="Rubik"/>
          <w:i/>
          <w:iCs/>
          <w:sz w:val="22"/>
          <w:szCs w:val="22"/>
        </w:rPr>
        <w:t>Scienze Umane e Sociali</w:t>
      </w:r>
      <w:r w:rsidRPr="00186E20">
        <w:rPr>
          <w:rFonts w:ascii="Rubik" w:hAnsi="Rubik" w:cs="Rubik"/>
          <w:sz w:val="22"/>
          <w:szCs w:val="22"/>
        </w:rPr>
        <w:t>, t</w:t>
      </w:r>
      <w:r w:rsidR="002E4578" w:rsidRPr="002E4578">
        <w:rPr>
          <w:rFonts w:ascii="Rubik" w:hAnsi="Rubik" w:cs="Rubik" w:hint="cs"/>
          <w:sz w:val="22"/>
          <w:szCs w:val="22"/>
        </w:rPr>
        <w:t xml:space="preserve">ra le principali novità </w:t>
      </w:r>
      <w:r w:rsidRPr="00186E20">
        <w:rPr>
          <w:rFonts w:ascii="Rubik" w:hAnsi="Rubik" w:cs="Rubik"/>
          <w:sz w:val="22"/>
          <w:szCs w:val="22"/>
        </w:rPr>
        <w:t xml:space="preserve">si segnala, da un lato, il rafforzamento della </w:t>
      </w:r>
      <w:r w:rsidRPr="00186E20">
        <w:rPr>
          <w:rFonts w:ascii="Rubik" w:hAnsi="Rubik" w:cs="Rubik"/>
          <w:b/>
          <w:bCs/>
          <w:sz w:val="22"/>
          <w:szCs w:val="22"/>
        </w:rPr>
        <w:t>proiezione internazionale</w:t>
      </w:r>
      <w:r w:rsidRPr="00186E20">
        <w:rPr>
          <w:rFonts w:ascii="Rubik" w:hAnsi="Rubik" w:cs="Rubik"/>
          <w:sz w:val="22"/>
          <w:szCs w:val="22"/>
        </w:rPr>
        <w:t xml:space="preserve"> attraverso risorse appositamente dedicate a sostenere la mobilità internazionale dei dottorandi; dall’altro, il potenziamento delle relazioni con enti dell’ecosistema dell’innovazione bergamasco attraverso </w:t>
      </w:r>
      <w:r w:rsidR="002E4578" w:rsidRPr="002E4578">
        <w:rPr>
          <w:rFonts w:ascii="Rubik" w:hAnsi="Rubik" w:cs="Rubik" w:hint="cs"/>
          <w:sz w:val="22"/>
          <w:szCs w:val="22"/>
        </w:rPr>
        <w:t xml:space="preserve">l’introduzione dei </w:t>
      </w:r>
      <w:r w:rsidR="002E4578" w:rsidRPr="002E4578">
        <w:rPr>
          <w:rFonts w:ascii="Rubik" w:hAnsi="Rubik" w:cs="Rubik" w:hint="cs"/>
          <w:b/>
          <w:bCs/>
          <w:sz w:val="22"/>
          <w:szCs w:val="22"/>
        </w:rPr>
        <w:t>dottorati executive</w:t>
      </w:r>
      <w:r w:rsidR="002E4578" w:rsidRPr="002E4578">
        <w:rPr>
          <w:rFonts w:ascii="Rubik" w:hAnsi="Rubik" w:cs="Rubik" w:hint="cs"/>
          <w:sz w:val="22"/>
          <w:szCs w:val="22"/>
        </w:rPr>
        <w:t xml:space="preserve">, una formula che consente di </w:t>
      </w:r>
      <w:r w:rsidR="002E4578" w:rsidRPr="002E4578">
        <w:rPr>
          <w:rFonts w:ascii="Rubik" w:hAnsi="Rubik" w:cs="Rubik" w:hint="cs"/>
          <w:b/>
          <w:bCs/>
          <w:sz w:val="22"/>
          <w:szCs w:val="22"/>
        </w:rPr>
        <w:t>integrare l’esperienza lavorativa in azienda con la formazione alla ricerca</w:t>
      </w:r>
      <w:r w:rsidR="002E4578" w:rsidRPr="002E4578">
        <w:rPr>
          <w:rFonts w:ascii="Rubik" w:hAnsi="Rubik" w:cs="Rubik" w:hint="cs"/>
          <w:sz w:val="22"/>
          <w:szCs w:val="22"/>
        </w:rPr>
        <w:t>, secondo un approccio che valorizza le sinergie tra università e</w:t>
      </w:r>
      <w:r w:rsidR="008D55CA">
        <w:rPr>
          <w:rFonts w:ascii="Rubik" w:hAnsi="Rubik" w:cs="Rubik"/>
          <w:sz w:val="22"/>
          <w:szCs w:val="22"/>
        </w:rPr>
        <w:t xml:space="preserve"> il mondo de</w:t>
      </w:r>
      <w:r w:rsidR="00D56DA9">
        <w:rPr>
          <w:rFonts w:ascii="Rubik" w:hAnsi="Rubik" w:cs="Rubik"/>
          <w:sz w:val="22"/>
          <w:szCs w:val="22"/>
        </w:rPr>
        <w:t xml:space="preserve">lle aziende e degli </w:t>
      </w:r>
      <w:r w:rsidR="008D55CA">
        <w:rPr>
          <w:rFonts w:ascii="Rubik" w:hAnsi="Rubik" w:cs="Rubik"/>
          <w:sz w:val="22"/>
          <w:szCs w:val="22"/>
        </w:rPr>
        <w:t>enti pubblici e privati</w:t>
      </w:r>
      <w:r w:rsidR="002E4578" w:rsidRPr="002E4578">
        <w:rPr>
          <w:rFonts w:ascii="Rubik" w:hAnsi="Rubik" w:cs="Rubik" w:hint="cs"/>
          <w:sz w:val="22"/>
          <w:szCs w:val="22"/>
        </w:rPr>
        <w:t xml:space="preserve">. Il nuovo regolamento rende possibile attivare </w:t>
      </w:r>
      <w:r w:rsidR="002E4578" w:rsidRPr="002E4578">
        <w:rPr>
          <w:rFonts w:ascii="Rubik" w:hAnsi="Rubik" w:cs="Rubik" w:hint="cs"/>
          <w:b/>
          <w:bCs/>
          <w:sz w:val="22"/>
          <w:szCs w:val="22"/>
        </w:rPr>
        <w:t>percorsi personalizzati</w:t>
      </w:r>
      <w:r w:rsidR="002E4578" w:rsidRPr="002E4578">
        <w:rPr>
          <w:rFonts w:ascii="Rubik" w:hAnsi="Rubik" w:cs="Rubik" w:hint="cs"/>
          <w:sz w:val="22"/>
          <w:szCs w:val="22"/>
        </w:rPr>
        <w:t>, pensati per professionisti che intendono investire in innovazione e capitale umano altamente qualificat</w:t>
      </w:r>
      <w:r w:rsidR="002C0FB0" w:rsidRPr="00186E20">
        <w:rPr>
          <w:rFonts w:ascii="Rubik" w:hAnsi="Rubik" w:cs="Rubik"/>
          <w:sz w:val="22"/>
          <w:szCs w:val="22"/>
        </w:rPr>
        <w:t>o.</w:t>
      </w:r>
    </w:p>
    <w:p w14:paraId="7B4BA690" w14:textId="77777777" w:rsidR="002C0FB0" w:rsidRPr="00186E20" w:rsidRDefault="002C0FB0" w:rsidP="002C0FB0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247FC8D4" w14:textId="06483FE2" w:rsidR="002E4578" w:rsidRPr="00186E20" w:rsidRDefault="007E79D8" w:rsidP="002C0FB0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186E20">
        <w:rPr>
          <w:rFonts w:ascii="Rubik" w:hAnsi="Rubik" w:cs="Rubik"/>
          <w:i/>
          <w:iCs/>
          <w:sz w:val="22"/>
          <w:szCs w:val="22"/>
        </w:rPr>
        <w:t>“Che l’Università di Bergamo</w:t>
      </w:r>
      <w:r w:rsidR="002C0FB0" w:rsidRPr="00186E20">
        <w:rPr>
          <w:rFonts w:ascii="Rubik" w:hAnsi="Rubik" w:cs="Rubik"/>
          <w:i/>
          <w:iCs/>
          <w:sz w:val="22"/>
          <w:szCs w:val="22"/>
        </w:rPr>
        <w:t xml:space="preserve"> </w:t>
      </w:r>
      <w:r w:rsidRPr="00186E20">
        <w:rPr>
          <w:rFonts w:ascii="Rubik" w:hAnsi="Rubik" w:cs="Rubik"/>
          <w:i/>
          <w:iCs/>
          <w:sz w:val="22"/>
          <w:szCs w:val="22"/>
        </w:rPr>
        <w:t>stia puntando fortemente sulla formazione dottorale è testimoniato innanzitutto dall’entità dei fondi che l’Ateneo mette a disposizione per il finanziamento delle borse di dottorato</w:t>
      </w:r>
      <w:r w:rsidR="002C0FB0" w:rsidRPr="00186E20">
        <w:rPr>
          <w:rFonts w:ascii="Rubik" w:hAnsi="Rubik" w:cs="Rubik"/>
          <w:i/>
          <w:iCs/>
          <w:sz w:val="22"/>
          <w:szCs w:val="22"/>
        </w:rPr>
        <w:t xml:space="preserve"> </w:t>
      </w:r>
      <w:r w:rsidR="002C0FB0" w:rsidRPr="002E4578">
        <w:rPr>
          <w:rFonts w:ascii="Rubik" w:hAnsi="Rubik" w:cs="Rubik" w:hint="cs"/>
          <w:sz w:val="22"/>
          <w:szCs w:val="22"/>
        </w:rPr>
        <w:t>– commenta il prof</w:t>
      </w:r>
      <w:r w:rsidR="002C0FB0" w:rsidRPr="00186E20">
        <w:rPr>
          <w:rFonts w:ascii="Rubik" w:hAnsi="Rubik" w:cs="Rubik"/>
          <w:sz w:val="22"/>
          <w:szCs w:val="22"/>
        </w:rPr>
        <w:t>.</w:t>
      </w:r>
      <w:r w:rsidR="002C0FB0" w:rsidRPr="002E4578">
        <w:rPr>
          <w:rFonts w:ascii="Rubik" w:hAnsi="Rubik" w:cs="Rubik" w:hint="cs"/>
          <w:b/>
          <w:bCs/>
          <w:sz w:val="22"/>
          <w:szCs w:val="22"/>
        </w:rPr>
        <w:t xml:space="preserve"> </w:t>
      </w:r>
      <w:r w:rsidR="002C0FB0" w:rsidRPr="00186E20">
        <w:rPr>
          <w:rFonts w:ascii="Rubik" w:hAnsi="Rubik" w:cs="Rubik"/>
          <w:b/>
          <w:bCs/>
          <w:sz w:val="22"/>
          <w:szCs w:val="22"/>
        </w:rPr>
        <w:t>Gianpietro</w:t>
      </w:r>
      <w:r w:rsidR="002C0FB0" w:rsidRPr="002E4578">
        <w:rPr>
          <w:rFonts w:ascii="Rubik" w:hAnsi="Rubik" w:cs="Rubik" w:hint="cs"/>
          <w:b/>
          <w:bCs/>
          <w:sz w:val="22"/>
          <w:szCs w:val="22"/>
        </w:rPr>
        <w:t xml:space="preserve"> Cossali</w:t>
      </w:r>
      <w:r w:rsidR="002C0FB0" w:rsidRPr="002E4578">
        <w:rPr>
          <w:rFonts w:ascii="Rubik" w:hAnsi="Rubik" w:cs="Rubik" w:hint="cs"/>
          <w:sz w:val="22"/>
          <w:szCs w:val="22"/>
        </w:rPr>
        <w:t xml:space="preserve">, </w:t>
      </w:r>
      <w:r w:rsidR="002C0FB0" w:rsidRPr="00186E20">
        <w:rPr>
          <w:rFonts w:ascii="Rubik" w:hAnsi="Rubik" w:cs="Rubik"/>
          <w:sz w:val="22"/>
          <w:szCs w:val="22"/>
        </w:rPr>
        <w:t>Direttore della Scuola di Alta Formazione Dottorale dell’Università degli studi di Bergamo</w:t>
      </w:r>
      <w:r w:rsidR="002C0FB0" w:rsidRPr="00186E20">
        <w:rPr>
          <w:rFonts w:ascii="Rubik" w:hAnsi="Rubik" w:cs="Rubik" w:hint="cs"/>
          <w:sz w:val="22"/>
          <w:szCs w:val="22"/>
        </w:rPr>
        <w:t xml:space="preserve"> </w:t>
      </w:r>
      <w:r w:rsidR="002C0FB0" w:rsidRPr="002E4578">
        <w:rPr>
          <w:rFonts w:ascii="Rubik" w:hAnsi="Rubik" w:cs="Rubik" w:hint="cs"/>
          <w:i/>
          <w:iCs/>
          <w:sz w:val="22"/>
          <w:szCs w:val="22"/>
        </w:rPr>
        <w:t>–</w:t>
      </w:r>
      <w:r w:rsidRPr="00186E20">
        <w:rPr>
          <w:rFonts w:ascii="Rubik" w:hAnsi="Rubik" w:cs="Rubik"/>
          <w:i/>
          <w:iCs/>
          <w:sz w:val="22"/>
          <w:szCs w:val="22"/>
        </w:rPr>
        <w:t>. Tre anni fa l’entità della borsa di Dottorato UniBg è stata incrementata del 20%, portandola ad un valore tra i più alti in Italia, mentre il finanziamento complessivo dei Dottorati negli ultimi quattro anni ha subito un incremento del 73%.  Ma un dato altrettanto importante, che mostra come questa volontà di sostenere i nostri Dottorati sia fortemente condivisa dall’intero Ateneo, è il raddoppio, nell’ultimo quadriennio, dei docenti direttamente coinvolti nella guida dei dottorati.”</w:t>
      </w:r>
    </w:p>
    <w:p w14:paraId="683E1BB5" w14:textId="77777777" w:rsidR="002E4578" w:rsidRPr="00186E20" w:rsidRDefault="002E4578" w:rsidP="002E4578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671D0CAF" w14:textId="3ACD85A1" w:rsidR="002E4578" w:rsidRPr="00186E20" w:rsidRDefault="002E4578" w:rsidP="002E4578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2E4578">
        <w:rPr>
          <w:rFonts w:ascii="Rubik" w:hAnsi="Rubik" w:cs="Rubik" w:hint="cs"/>
          <w:sz w:val="22"/>
          <w:szCs w:val="22"/>
        </w:rPr>
        <w:t xml:space="preserve">La qualità dei percorsi è confermata anche dai dati dell’indagine AlmaLaurea 2024 su Profilo e Condizione occupazionale dei dottori di ricerca: </w:t>
      </w:r>
      <w:r w:rsidRPr="002E4578">
        <w:rPr>
          <w:rFonts w:ascii="Rubik" w:hAnsi="Rubik" w:cs="Rubik" w:hint="cs"/>
          <w:b/>
          <w:bCs/>
          <w:sz w:val="22"/>
          <w:szCs w:val="22"/>
        </w:rPr>
        <w:t>a un anno dal titolo</w:t>
      </w:r>
      <w:r w:rsidRPr="002E4578">
        <w:rPr>
          <w:rFonts w:ascii="Rubik" w:hAnsi="Rubik" w:cs="Rubik" w:hint="cs"/>
          <w:sz w:val="22"/>
          <w:szCs w:val="22"/>
        </w:rPr>
        <w:t xml:space="preserve">, il tasso di </w:t>
      </w:r>
      <w:r w:rsidRPr="002E4578">
        <w:rPr>
          <w:rFonts w:ascii="Rubik" w:hAnsi="Rubik" w:cs="Rubik" w:hint="cs"/>
          <w:b/>
          <w:bCs/>
          <w:sz w:val="22"/>
          <w:szCs w:val="22"/>
        </w:rPr>
        <w:t xml:space="preserve">occupazione </w:t>
      </w:r>
      <w:r w:rsidRPr="002E4578">
        <w:rPr>
          <w:rFonts w:ascii="Rubik" w:hAnsi="Rubik" w:cs="Rubik" w:hint="cs"/>
          <w:sz w:val="22"/>
          <w:szCs w:val="22"/>
        </w:rPr>
        <w:t>è del</w:t>
      </w:r>
      <w:r w:rsidRPr="002E4578">
        <w:rPr>
          <w:rFonts w:ascii="Rubik" w:hAnsi="Rubik" w:cs="Rubik" w:hint="cs"/>
          <w:b/>
          <w:bCs/>
          <w:sz w:val="22"/>
          <w:szCs w:val="22"/>
        </w:rPr>
        <w:t xml:space="preserve"> 97,5%</w:t>
      </w:r>
      <w:r w:rsidRPr="002E4578">
        <w:rPr>
          <w:rFonts w:ascii="Rubik" w:hAnsi="Rubik" w:cs="Rubik" w:hint="cs"/>
          <w:sz w:val="22"/>
          <w:szCs w:val="22"/>
        </w:rPr>
        <w:t>, con l’86,5% impiegato in professioni intellettuali, scientifiche e ad alta specializzazione.</w:t>
      </w:r>
    </w:p>
    <w:sectPr w:rsidR="002E4578" w:rsidRPr="00186E2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FF88C" w14:textId="77777777" w:rsidR="00C31659" w:rsidRDefault="00C31659">
      <w:r>
        <w:separator/>
      </w:r>
    </w:p>
  </w:endnote>
  <w:endnote w:type="continuationSeparator" w:id="0">
    <w:p w14:paraId="4012F2C0" w14:textId="77777777" w:rsidR="00C31659" w:rsidRDefault="00C3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07EF8" w14:textId="77777777" w:rsidR="00C31659" w:rsidRDefault="00C31659">
      <w:r>
        <w:separator/>
      </w:r>
    </w:p>
  </w:footnote>
  <w:footnote w:type="continuationSeparator" w:id="0">
    <w:p w14:paraId="7C0D399C" w14:textId="77777777" w:rsidR="00C31659" w:rsidRDefault="00C3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1659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C316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1659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5169D"/>
    <w:multiLevelType w:val="hybridMultilevel"/>
    <w:tmpl w:val="8CF8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4"/>
  </w:num>
  <w:num w:numId="2" w16cid:durableId="904490994">
    <w:abstractNumId w:val="2"/>
  </w:num>
  <w:num w:numId="3" w16cid:durableId="1247036726">
    <w:abstractNumId w:val="5"/>
  </w:num>
  <w:num w:numId="4" w16cid:durableId="239221426">
    <w:abstractNumId w:val="0"/>
  </w:num>
  <w:num w:numId="5" w16cid:durableId="1221133381">
    <w:abstractNumId w:val="8"/>
  </w:num>
  <w:num w:numId="6" w16cid:durableId="125202420">
    <w:abstractNumId w:val="6"/>
  </w:num>
  <w:num w:numId="7" w16cid:durableId="2112359319">
    <w:abstractNumId w:val="7"/>
  </w:num>
  <w:num w:numId="8" w16cid:durableId="2018190774">
    <w:abstractNumId w:val="1"/>
  </w:num>
  <w:num w:numId="9" w16cid:durableId="468090076">
    <w:abstractNumId w:val="10"/>
  </w:num>
  <w:num w:numId="10" w16cid:durableId="1149328173">
    <w:abstractNumId w:val="11"/>
  </w:num>
  <w:num w:numId="11" w16cid:durableId="1627809182">
    <w:abstractNumId w:val="9"/>
  </w:num>
  <w:num w:numId="12" w16cid:durableId="1067413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2D2"/>
    <w:rsid w:val="000341FB"/>
    <w:rsid w:val="0003480E"/>
    <w:rsid w:val="000434F5"/>
    <w:rsid w:val="000531A5"/>
    <w:rsid w:val="00081453"/>
    <w:rsid w:val="00094222"/>
    <w:rsid w:val="000A4744"/>
    <w:rsid w:val="000A5632"/>
    <w:rsid w:val="000D49C3"/>
    <w:rsid w:val="000D6C04"/>
    <w:rsid w:val="000E2CD5"/>
    <w:rsid w:val="000E494B"/>
    <w:rsid w:val="000F3254"/>
    <w:rsid w:val="00103B96"/>
    <w:rsid w:val="00130B07"/>
    <w:rsid w:val="00134AD4"/>
    <w:rsid w:val="00135484"/>
    <w:rsid w:val="0014185C"/>
    <w:rsid w:val="00155293"/>
    <w:rsid w:val="00155E7B"/>
    <w:rsid w:val="001611B8"/>
    <w:rsid w:val="00181616"/>
    <w:rsid w:val="00186E20"/>
    <w:rsid w:val="00186E51"/>
    <w:rsid w:val="001970FA"/>
    <w:rsid w:val="001C3D94"/>
    <w:rsid w:val="001D7C77"/>
    <w:rsid w:val="001E0CC7"/>
    <w:rsid w:val="00202830"/>
    <w:rsid w:val="00211ACA"/>
    <w:rsid w:val="002209B8"/>
    <w:rsid w:val="002266D1"/>
    <w:rsid w:val="002316C3"/>
    <w:rsid w:val="00233A02"/>
    <w:rsid w:val="0024426B"/>
    <w:rsid w:val="00246A81"/>
    <w:rsid w:val="002640B0"/>
    <w:rsid w:val="00271BE8"/>
    <w:rsid w:val="00276C55"/>
    <w:rsid w:val="0028450F"/>
    <w:rsid w:val="00284CA6"/>
    <w:rsid w:val="00286C81"/>
    <w:rsid w:val="00297BC5"/>
    <w:rsid w:val="002A5D99"/>
    <w:rsid w:val="002A7937"/>
    <w:rsid w:val="002B0BA5"/>
    <w:rsid w:val="002C0A2E"/>
    <w:rsid w:val="002C0FB0"/>
    <w:rsid w:val="002C42DF"/>
    <w:rsid w:val="002D5CD3"/>
    <w:rsid w:val="002E25F5"/>
    <w:rsid w:val="002E3E77"/>
    <w:rsid w:val="002E4361"/>
    <w:rsid w:val="002E4578"/>
    <w:rsid w:val="002E4DA9"/>
    <w:rsid w:val="002F089C"/>
    <w:rsid w:val="002F61CE"/>
    <w:rsid w:val="00307194"/>
    <w:rsid w:val="00307AB6"/>
    <w:rsid w:val="003129AA"/>
    <w:rsid w:val="003245FA"/>
    <w:rsid w:val="003605F2"/>
    <w:rsid w:val="00381D48"/>
    <w:rsid w:val="00393E25"/>
    <w:rsid w:val="003B08C0"/>
    <w:rsid w:val="003B3EB0"/>
    <w:rsid w:val="003B7D43"/>
    <w:rsid w:val="003C0E88"/>
    <w:rsid w:val="003F4ED6"/>
    <w:rsid w:val="00404C79"/>
    <w:rsid w:val="00426586"/>
    <w:rsid w:val="00431713"/>
    <w:rsid w:val="00447474"/>
    <w:rsid w:val="00466272"/>
    <w:rsid w:val="00476D93"/>
    <w:rsid w:val="00485F68"/>
    <w:rsid w:val="00490C7B"/>
    <w:rsid w:val="00491F41"/>
    <w:rsid w:val="0049682F"/>
    <w:rsid w:val="004A5C2E"/>
    <w:rsid w:val="004C0ACD"/>
    <w:rsid w:val="004C10B9"/>
    <w:rsid w:val="004C3806"/>
    <w:rsid w:val="004D04CA"/>
    <w:rsid w:val="004D071E"/>
    <w:rsid w:val="004D4141"/>
    <w:rsid w:val="004E7E4D"/>
    <w:rsid w:val="004F1235"/>
    <w:rsid w:val="004F3A8D"/>
    <w:rsid w:val="00540C71"/>
    <w:rsid w:val="00560780"/>
    <w:rsid w:val="00585DEC"/>
    <w:rsid w:val="0058734C"/>
    <w:rsid w:val="00595C0C"/>
    <w:rsid w:val="005B42D2"/>
    <w:rsid w:val="00600112"/>
    <w:rsid w:val="00602A69"/>
    <w:rsid w:val="00617ED3"/>
    <w:rsid w:val="00662AE0"/>
    <w:rsid w:val="006659D4"/>
    <w:rsid w:val="006B46F3"/>
    <w:rsid w:val="006C372E"/>
    <w:rsid w:val="006C58F4"/>
    <w:rsid w:val="006D634E"/>
    <w:rsid w:val="006F4D9F"/>
    <w:rsid w:val="007135A3"/>
    <w:rsid w:val="0071586C"/>
    <w:rsid w:val="00727704"/>
    <w:rsid w:val="00737D94"/>
    <w:rsid w:val="0074584D"/>
    <w:rsid w:val="00753D64"/>
    <w:rsid w:val="00776A83"/>
    <w:rsid w:val="0077712B"/>
    <w:rsid w:val="00787CF9"/>
    <w:rsid w:val="00794740"/>
    <w:rsid w:val="007A1F51"/>
    <w:rsid w:val="007A2F48"/>
    <w:rsid w:val="007A66F7"/>
    <w:rsid w:val="007B7C99"/>
    <w:rsid w:val="007C19B3"/>
    <w:rsid w:val="007C29C7"/>
    <w:rsid w:val="007D7828"/>
    <w:rsid w:val="007E79D8"/>
    <w:rsid w:val="007F2F89"/>
    <w:rsid w:val="007F5525"/>
    <w:rsid w:val="007F7300"/>
    <w:rsid w:val="00804E31"/>
    <w:rsid w:val="00810F21"/>
    <w:rsid w:val="008231F1"/>
    <w:rsid w:val="008260F0"/>
    <w:rsid w:val="00833F4A"/>
    <w:rsid w:val="008527F5"/>
    <w:rsid w:val="008540E7"/>
    <w:rsid w:val="00855100"/>
    <w:rsid w:val="00857C7B"/>
    <w:rsid w:val="008638AA"/>
    <w:rsid w:val="00873255"/>
    <w:rsid w:val="008733CD"/>
    <w:rsid w:val="008811CE"/>
    <w:rsid w:val="008964D8"/>
    <w:rsid w:val="008A2525"/>
    <w:rsid w:val="008C2DE6"/>
    <w:rsid w:val="008C56BF"/>
    <w:rsid w:val="008D55CA"/>
    <w:rsid w:val="008F4EC1"/>
    <w:rsid w:val="009121CF"/>
    <w:rsid w:val="00934173"/>
    <w:rsid w:val="00942DC6"/>
    <w:rsid w:val="00943013"/>
    <w:rsid w:val="0094481F"/>
    <w:rsid w:val="009841B4"/>
    <w:rsid w:val="009C05FA"/>
    <w:rsid w:val="009C2DF4"/>
    <w:rsid w:val="009D536F"/>
    <w:rsid w:val="009F5BC3"/>
    <w:rsid w:val="009F688D"/>
    <w:rsid w:val="00A03DF9"/>
    <w:rsid w:val="00A050B0"/>
    <w:rsid w:val="00A15112"/>
    <w:rsid w:val="00A178D3"/>
    <w:rsid w:val="00A2032E"/>
    <w:rsid w:val="00A35E82"/>
    <w:rsid w:val="00A40488"/>
    <w:rsid w:val="00A53599"/>
    <w:rsid w:val="00A56A2A"/>
    <w:rsid w:val="00A85EBE"/>
    <w:rsid w:val="00A95869"/>
    <w:rsid w:val="00AA1DBF"/>
    <w:rsid w:val="00AC4C9E"/>
    <w:rsid w:val="00AD378E"/>
    <w:rsid w:val="00AE1E9E"/>
    <w:rsid w:val="00AE56CE"/>
    <w:rsid w:val="00B06AEB"/>
    <w:rsid w:val="00B108E8"/>
    <w:rsid w:val="00B12DE2"/>
    <w:rsid w:val="00B22A79"/>
    <w:rsid w:val="00B303AF"/>
    <w:rsid w:val="00B41453"/>
    <w:rsid w:val="00B95F76"/>
    <w:rsid w:val="00BA1960"/>
    <w:rsid w:val="00BA5D2F"/>
    <w:rsid w:val="00BB47C8"/>
    <w:rsid w:val="00BB69C5"/>
    <w:rsid w:val="00BC3E65"/>
    <w:rsid w:val="00BC42D5"/>
    <w:rsid w:val="00C02775"/>
    <w:rsid w:val="00C06156"/>
    <w:rsid w:val="00C22B33"/>
    <w:rsid w:val="00C31659"/>
    <w:rsid w:val="00C40965"/>
    <w:rsid w:val="00C436D0"/>
    <w:rsid w:val="00C4527B"/>
    <w:rsid w:val="00C62184"/>
    <w:rsid w:val="00C67C30"/>
    <w:rsid w:val="00C70C56"/>
    <w:rsid w:val="00C740AF"/>
    <w:rsid w:val="00CC6B14"/>
    <w:rsid w:val="00CE25AD"/>
    <w:rsid w:val="00D126B7"/>
    <w:rsid w:val="00D249F2"/>
    <w:rsid w:val="00D34401"/>
    <w:rsid w:val="00D46A9B"/>
    <w:rsid w:val="00D54DA0"/>
    <w:rsid w:val="00D56DA9"/>
    <w:rsid w:val="00D71F1B"/>
    <w:rsid w:val="00DA2017"/>
    <w:rsid w:val="00DC19EC"/>
    <w:rsid w:val="00DD1CA5"/>
    <w:rsid w:val="00DE0761"/>
    <w:rsid w:val="00DF2CF0"/>
    <w:rsid w:val="00E06571"/>
    <w:rsid w:val="00E138A5"/>
    <w:rsid w:val="00E237AF"/>
    <w:rsid w:val="00E27291"/>
    <w:rsid w:val="00E31F8B"/>
    <w:rsid w:val="00E4313C"/>
    <w:rsid w:val="00E641E9"/>
    <w:rsid w:val="00E74086"/>
    <w:rsid w:val="00EB2782"/>
    <w:rsid w:val="00EC5EF0"/>
    <w:rsid w:val="00EE4E58"/>
    <w:rsid w:val="00EF5078"/>
    <w:rsid w:val="00EF648B"/>
    <w:rsid w:val="00F00B35"/>
    <w:rsid w:val="00F050DF"/>
    <w:rsid w:val="00F10709"/>
    <w:rsid w:val="00F140C5"/>
    <w:rsid w:val="00F15DC9"/>
    <w:rsid w:val="00F2596C"/>
    <w:rsid w:val="00F35462"/>
    <w:rsid w:val="00F35800"/>
    <w:rsid w:val="00F3633E"/>
    <w:rsid w:val="00F45205"/>
    <w:rsid w:val="00F549A4"/>
    <w:rsid w:val="00F6219E"/>
    <w:rsid w:val="00F67F48"/>
    <w:rsid w:val="00F73FC7"/>
    <w:rsid w:val="00F805FF"/>
    <w:rsid w:val="00F84BF8"/>
    <w:rsid w:val="00FA38B4"/>
    <w:rsid w:val="00FB5BC4"/>
    <w:rsid w:val="00FD316F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662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3</cp:revision>
  <dcterms:created xsi:type="dcterms:W3CDTF">2025-07-09T10:33:00Z</dcterms:created>
  <dcterms:modified xsi:type="dcterms:W3CDTF">2025-07-09T10:35:00Z</dcterms:modified>
</cp:coreProperties>
</file>