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5383" w14:textId="6514D361" w:rsidR="00C66F36" w:rsidRPr="002065D9" w:rsidRDefault="007F7300" w:rsidP="00C66F36">
      <w:pPr>
        <w:pStyle w:val="NormaleWeb"/>
        <w:spacing w:before="0" w:beforeAutospacing="0" w:after="0" w:afterAutospacing="0"/>
        <w:jc w:val="center"/>
        <w:rPr>
          <w:rStyle w:val="Enfasigrassetto"/>
          <w:rFonts w:ascii="Rubik" w:eastAsiaTheme="majorEastAsia" w:hAnsi="Rubik" w:cs="Rubik"/>
          <w:b w:val="0"/>
          <w:bCs w:val="0"/>
          <w:sz w:val="22"/>
          <w:szCs w:val="22"/>
          <w:u w:val="single"/>
        </w:rPr>
      </w:pPr>
      <w:r w:rsidRPr="002065D9">
        <w:rPr>
          <w:rStyle w:val="Enfasigrassetto"/>
          <w:rFonts w:ascii="Rubik" w:eastAsiaTheme="majorEastAsia" w:hAnsi="Rubik" w:cs="Rubik"/>
          <w:b w:val="0"/>
          <w:bCs w:val="0"/>
          <w:sz w:val="22"/>
          <w:szCs w:val="22"/>
          <w:u w:val="single"/>
        </w:rPr>
        <w:t>COMUNICATO</w:t>
      </w:r>
      <w:r w:rsidR="00662AE0" w:rsidRPr="002065D9">
        <w:rPr>
          <w:rStyle w:val="Enfasigrassetto"/>
          <w:rFonts w:ascii="Rubik" w:eastAsiaTheme="majorEastAsia" w:hAnsi="Rubik" w:cs="Rubik"/>
          <w:b w:val="0"/>
          <w:bCs w:val="0"/>
          <w:sz w:val="22"/>
          <w:szCs w:val="22"/>
          <w:u w:val="single"/>
        </w:rPr>
        <w:t xml:space="preserve"> STAMPA</w:t>
      </w:r>
    </w:p>
    <w:p w14:paraId="499266E8" w14:textId="77777777" w:rsidR="00C66F36" w:rsidRPr="00C66F36" w:rsidRDefault="00C66F36" w:rsidP="00C66F36">
      <w:pPr>
        <w:pStyle w:val="NormaleWeb"/>
        <w:spacing w:before="0" w:beforeAutospacing="0" w:after="0" w:afterAutospacing="0"/>
        <w:jc w:val="center"/>
        <w:rPr>
          <w:rFonts w:ascii="Rubik" w:eastAsiaTheme="majorEastAsia" w:hAnsi="Rubik" w:cs="Rubik"/>
          <w:u w:val="single"/>
        </w:rPr>
      </w:pPr>
    </w:p>
    <w:p w14:paraId="0F2341E1" w14:textId="3C3B88BC" w:rsidR="00C66F36" w:rsidRPr="002065D9" w:rsidRDefault="002065D9" w:rsidP="00C66F36">
      <w:pPr>
        <w:spacing w:after="120"/>
        <w:jc w:val="center"/>
        <w:rPr>
          <w:rFonts w:ascii="Rubik" w:hAnsi="Rubik" w:cs="Rubik"/>
          <w:sz w:val="28"/>
          <w:szCs w:val="28"/>
        </w:rPr>
      </w:pPr>
      <w:bookmarkStart w:id="0" w:name="OLE_LINK1"/>
      <w:r w:rsidRPr="002065D9">
        <w:rPr>
          <w:rFonts w:ascii="Rubik" w:hAnsi="Rubik" w:cs="Rubik"/>
          <w:b/>
          <w:bCs/>
          <w:sz w:val="28"/>
          <w:szCs w:val="28"/>
        </w:rPr>
        <w:t>ITALIA E GIAPPONE ALLEATE CONTRO L’OVERTOURISM</w:t>
      </w:r>
    </w:p>
    <w:p w14:paraId="647C05BF" w14:textId="77777777" w:rsidR="002065D9" w:rsidRDefault="00C66F36" w:rsidP="00C66F36">
      <w:pPr>
        <w:spacing w:after="120"/>
        <w:jc w:val="center"/>
        <w:rPr>
          <w:rFonts w:ascii="Rubik" w:hAnsi="Rubik" w:cs="Rubik"/>
          <w:b/>
          <w:bCs/>
          <w:i/>
          <w:iCs/>
          <w:sz w:val="22"/>
          <w:szCs w:val="22"/>
        </w:rPr>
      </w:pPr>
      <w:r w:rsidRPr="002065D9">
        <w:rPr>
          <w:rFonts w:ascii="Rubik" w:hAnsi="Rubik" w:cs="Rubik" w:hint="cs"/>
          <w:b/>
          <w:bCs/>
          <w:i/>
          <w:iCs/>
          <w:sz w:val="22"/>
          <w:szCs w:val="22"/>
        </w:rPr>
        <w:t xml:space="preserve">A Expo Osaka, l’Università </w:t>
      </w:r>
      <w:r w:rsidRPr="002065D9">
        <w:rPr>
          <w:rFonts w:ascii="Rubik" w:hAnsi="Rubik" w:cs="Rubik"/>
          <w:b/>
          <w:bCs/>
          <w:i/>
          <w:iCs/>
          <w:sz w:val="22"/>
          <w:szCs w:val="22"/>
        </w:rPr>
        <w:t xml:space="preserve">degli studi </w:t>
      </w:r>
      <w:r w:rsidRPr="002065D9">
        <w:rPr>
          <w:rFonts w:ascii="Rubik" w:hAnsi="Rubik" w:cs="Rubik" w:hint="cs"/>
          <w:b/>
          <w:bCs/>
          <w:i/>
          <w:iCs/>
          <w:sz w:val="22"/>
          <w:szCs w:val="22"/>
        </w:rPr>
        <w:t>di Bergamo ha presentato uno studio da cui emerge che il 43% dei turisti è disposto a spendere di più per evitare il sovraffollamento.</w:t>
      </w:r>
    </w:p>
    <w:p w14:paraId="768007E0" w14:textId="0DDB211A" w:rsidR="002065D9" w:rsidRDefault="00C66F36" w:rsidP="00C66F36">
      <w:pPr>
        <w:spacing w:after="120"/>
        <w:jc w:val="center"/>
        <w:rPr>
          <w:rFonts w:ascii="Rubik" w:hAnsi="Rubik" w:cs="Rubik"/>
          <w:b/>
          <w:bCs/>
          <w:i/>
          <w:iCs/>
          <w:sz w:val="22"/>
          <w:szCs w:val="22"/>
        </w:rPr>
      </w:pPr>
      <w:r w:rsidRPr="002065D9">
        <w:rPr>
          <w:rFonts w:ascii="Rubik" w:hAnsi="Rubik" w:cs="Rubik" w:hint="cs"/>
          <w:b/>
          <w:bCs/>
          <w:i/>
          <w:iCs/>
          <w:sz w:val="22"/>
          <w:szCs w:val="22"/>
        </w:rPr>
        <w:t xml:space="preserve">La crescita </w:t>
      </w:r>
      <w:r w:rsidR="002065D9">
        <w:rPr>
          <w:rFonts w:ascii="Rubik" w:hAnsi="Rubik" w:cs="Rubik"/>
          <w:b/>
          <w:bCs/>
          <w:i/>
          <w:iCs/>
          <w:sz w:val="22"/>
          <w:szCs w:val="22"/>
        </w:rPr>
        <w:t xml:space="preserve">dei flussi turistici </w:t>
      </w:r>
      <w:r w:rsidRPr="002065D9">
        <w:rPr>
          <w:rFonts w:ascii="Rubik" w:hAnsi="Rubik" w:cs="Rubik" w:hint="cs"/>
          <w:b/>
          <w:bCs/>
          <w:i/>
          <w:iCs/>
          <w:sz w:val="22"/>
          <w:szCs w:val="22"/>
        </w:rPr>
        <w:t xml:space="preserve">attesa nel prossimo decennio impone di pensare a soluzioni capaci </w:t>
      </w:r>
      <w:r w:rsidRPr="002065D9">
        <w:rPr>
          <w:rFonts w:ascii="Rubik" w:hAnsi="Rubik" w:cs="Rubik"/>
          <w:b/>
          <w:bCs/>
          <w:i/>
          <w:iCs/>
          <w:sz w:val="22"/>
          <w:szCs w:val="22"/>
        </w:rPr>
        <w:t xml:space="preserve">di </w:t>
      </w:r>
      <w:r w:rsidRPr="002065D9">
        <w:rPr>
          <w:rFonts w:ascii="Rubik" w:hAnsi="Rubik" w:cs="Rubik" w:hint="cs"/>
          <w:b/>
          <w:bCs/>
          <w:i/>
          <w:iCs/>
          <w:sz w:val="22"/>
          <w:szCs w:val="22"/>
        </w:rPr>
        <w:t>affrontare il problema in modo strategico, attraverso</w:t>
      </w:r>
      <w:r w:rsidR="002065D9">
        <w:rPr>
          <w:rFonts w:ascii="Rubik" w:hAnsi="Rubik" w:cs="Rubik"/>
          <w:b/>
          <w:bCs/>
          <w:i/>
          <w:iCs/>
          <w:sz w:val="22"/>
          <w:szCs w:val="22"/>
        </w:rPr>
        <w:t xml:space="preserve"> </w:t>
      </w:r>
      <w:r w:rsidRPr="002065D9">
        <w:rPr>
          <w:rFonts w:ascii="Rubik" w:hAnsi="Rubik" w:cs="Rubik" w:hint="cs"/>
          <w:b/>
          <w:bCs/>
          <w:i/>
          <w:iCs/>
          <w:sz w:val="22"/>
          <w:szCs w:val="22"/>
        </w:rPr>
        <w:t>governance, tecnologie e valorizzazione delle aree rurali.</w:t>
      </w:r>
    </w:p>
    <w:p w14:paraId="6E2F1C0F" w14:textId="4BAFC47E" w:rsidR="00494AB3" w:rsidRDefault="00C66F36" w:rsidP="00494AB3">
      <w:pPr>
        <w:spacing w:after="120"/>
        <w:jc w:val="center"/>
        <w:rPr>
          <w:rFonts w:ascii="Rubik" w:hAnsi="Rubik" w:cs="Rubik"/>
          <w:b/>
          <w:bCs/>
          <w:i/>
          <w:iCs/>
          <w:sz w:val="22"/>
          <w:szCs w:val="22"/>
        </w:rPr>
      </w:pPr>
      <w:r w:rsidRPr="002065D9">
        <w:rPr>
          <w:rFonts w:ascii="Rubik" w:hAnsi="Rubik" w:cs="Rubik" w:hint="cs"/>
          <w:b/>
          <w:bCs/>
          <w:i/>
          <w:iCs/>
          <w:sz w:val="22"/>
          <w:szCs w:val="22"/>
        </w:rPr>
        <w:t xml:space="preserve">La conferenza ha posto le basi per una roadmap condivisa tra Roma e Tokyo, orientata a politiche </w:t>
      </w:r>
      <w:r w:rsidRPr="002065D9">
        <w:rPr>
          <w:rFonts w:ascii="Rubik" w:hAnsi="Rubik" w:cs="Rubik"/>
          <w:b/>
          <w:bCs/>
          <w:i/>
          <w:iCs/>
          <w:sz w:val="22"/>
          <w:szCs w:val="22"/>
        </w:rPr>
        <w:t>territoriali</w:t>
      </w:r>
      <w:r w:rsidRPr="002065D9">
        <w:rPr>
          <w:rFonts w:ascii="Rubik" w:hAnsi="Rubik" w:cs="Rubik" w:hint="cs"/>
          <w:b/>
          <w:bCs/>
          <w:i/>
          <w:iCs/>
          <w:sz w:val="22"/>
          <w:szCs w:val="22"/>
        </w:rPr>
        <w:t xml:space="preserve"> più equilibrate, rispettose delle comunità e capaci di valorizzare il patrimonio diffuso</w:t>
      </w:r>
      <w:bookmarkEnd w:id="0"/>
      <w:r w:rsidR="002065D9">
        <w:rPr>
          <w:rFonts w:ascii="Rubik" w:hAnsi="Rubik" w:cs="Rubik"/>
          <w:b/>
          <w:bCs/>
          <w:i/>
          <w:iCs/>
          <w:sz w:val="22"/>
          <w:szCs w:val="22"/>
        </w:rPr>
        <w:t>.</w:t>
      </w:r>
    </w:p>
    <w:p w14:paraId="12610108" w14:textId="77777777" w:rsidR="00494AB3" w:rsidRPr="00494AB3" w:rsidRDefault="00494AB3" w:rsidP="00494AB3">
      <w:pPr>
        <w:spacing w:after="120"/>
        <w:jc w:val="center"/>
        <w:rPr>
          <w:rFonts w:ascii="Rubik" w:hAnsi="Rubik" w:cs="Rubik"/>
          <w:b/>
          <w:bCs/>
          <w:i/>
          <w:iCs/>
          <w:sz w:val="22"/>
          <w:szCs w:val="22"/>
        </w:rPr>
      </w:pPr>
    </w:p>
    <w:p w14:paraId="007268D3" w14:textId="2B052D2B" w:rsidR="00C66F36" w:rsidRPr="00494AB3" w:rsidRDefault="00C66F36" w:rsidP="00C66F36">
      <w:pPr>
        <w:jc w:val="both"/>
        <w:rPr>
          <w:rFonts w:ascii="Rubik" w:hAnsi="Rubik" w:cs="Rubik"/>
          <w:sz w:val="22"/>
          <w:szCs w:val="22"/>
        </w:rPr>
      </w:pPr>
      <w:r w:rsidRPr="00494AB3">
        <w:rPr>
          <w:rFonts w:ascii="Rubik" w:hAnsi="Rubik" w:cs="Rubik"/>
          <w:i/>
          <w:iCs/>
          <w:sz w:val="22"/>
          <w:szCs w:val="22"/>
        </w:rPr>
        <w:t>Osaka, 1</w:t>
      </w:r>
      <w:r w:rsidR="00A13DAD">
        <w:rPr>
          <w:rFonts w:ascii="Rubik" w:hAnsi="Rubik" w:cs="Rubik"/>
          <w:i/>
          <w:iCs/>
          <w:sz w:val="22"/>
          <w:szCs w:val="22"/>
        </w:rPr>
        <w:t>4</w:t>
      </w:r>
      <w:r w:rsidRPr="00494AB3">
        <w:rPr>
          <w:rFonts w:ascii="Rubik" w:hAnsi="Rubik" w:cs="Rubik"/>
          <w:i/>
          <w:iCs/>
          <w:sz w:val="22"/>
          <w:szCs w:val="22"/>
        </w:rPr>
        <w:t xml:space="preserve"> luglio 2025</w:t>
      </w:r>
      <w:r w:rsidRPr="00494AB3">
        <w:rPr>
          <w:rFonts w:ascii="Rubik" w:hAnsi="Rubik" w:cs="Rubik"/>
          <w:sz w:val="22"/>
          <w:szCs w:val="22"/>
        </w:rPr>
        <w:t xml:space="preserve"> – C</w:t>
      </w:r>
      <w:r w:rsidRPr="00494AB3">
        <w:rPr>
          <w:rFonts w:ascii="Rubik" w:hAnsi="Rubik" w:cs="Rubik" w:hint="cs"/>
          <w:sz w:val="22"/>
          <w:szCs w:val="22"/>
        </w:rPr>
        <w:t>on l’arrivo dell’estate e la prospettiva di una nuova crescita dei flussi turistici, torna all’attenzione il tema</w:t>
      </w:r>
      <w:r w:rsidR="00A3065C" w:rsidRPr="00494AB3">
        <w:rPr>
          <w:rFonts w:ascii="Rubik" w:hAnsi="Rubik" w:cs="Rubik"/>
          <w:sz w:val="22"/>
          <w:szCs w:val="22"/>
        </w:rPr>
        <w:t xml:space="preserve"> dell’</w:t>
      </w:r>
      <w:r w:rsidRPr="00494AB3">
        <w:rPr>
          <w:rFonts w:ascii="Rubik" w:hAnsi="Rubik" w:cs="Rubik" w:hint="cs"/>
          <w:b/>
          <w:bCs/>
          <w:i/>
          <w:iCs/>
          <w:sz w:val="22"/>
          <w:szCs w:val="22"/>
        </w:rPr>
        <w:t>overtourism</w:t>
      </w:r>
      <w:r w:rsidRPr="00494AB3">
        <w:rPr>
          <w:rFonts w:ascii="Rubik" w:hAnsi="Rubik" w:cs="Rubik" w:hint="cs"/>
          <w:sz w:val="22"/>
          <w:szCs w:val="22"/>
        </w:rPr>
        <w:t xml:space="preserve">. Negli ultimi mesi, diverse </w:t>
      </w:r>
      <w:r w:rsidRPr="00494AB3">
        <w:rPr>
          <w:rFonts w:ascii="Rubik" w:hAnsi="Rubik" w:cs="Rubik"/>
          <w:sz w:val="22"/>
          <w:szCs w:val="22"/>
        </w:rPr>
        <w:t>destinazioni turistiche europee</w:t>
      </w:r>
      <w:r w:rsidRPr="00494AB3">
        <w:rPr>
          <w:rFonts w:ascii="Rubik" w:hAnsi="Rubik" w:cs="Rubik" w:hint="cs"/>
          <w:sz w:val="22"/>
          <w:szCs w:val="22"/>
        </w:rPr>
        <w:t xml:space="preserve"> hanno sperimentato tensioni tra residenti e visitatori, segnale di un equilibrio sempre più fragile tra vivibilità dei territori e sostenibilità delle destinazioni.</w:t>
      </w:r>
    </w:p>
    <w:p w14:paraId="6859D753" w14:textId="77777777" w:rsidR="00C66F36" w:rsidRPr="00494AB3" w:rsidRDefault="00C66F36" w:rsidP="00C66F36">
      <w:pPr>
        <w:jc w:val="both"/>
        <w:rPr>
          <w:rFonts w:ascii="Rubik" w:hAnsi="Rubik" w:cs="Rubik"/>
          <w:sz w:val="22"/>
          <w:szCs w:val="22"/>
        </w:rPr>
      </w:pPr>
    </w:p>
    <w:p w14:paraId="402C2897" w14:textId="7A51BD18" w:rsidR="00C66F36" w:rsidRDefault="00C66F36" w:rsidP="00C66F36">
      <w:pPr>
        <w:jc w:val="both"/>
        <w:rPr>
          <w:rFonts w:ascii="Rubik" w:hAnsi="Rubik" w:cs="Rubik"/>
          <w:sz w:val="22"/>
          <w:szCs w:val="22"/>
        </w:rPr>
      </w:pPr>
      <w:r w:rsidRPr="00494AB3">
        <w:rPr>
          <w:rFonts w:ascii="Rubik" w:hAnsi="Rubik" w:cs="Rubik" w:hint="cs"/>
          <w:noProof/>
          <w:sz w:val="22"/>
          <w:szCs w:val="22"/>
        </w:rPr>
        <mc:AlternateContent>
          <mc:Choice Requires="wpi">
            <w:drawing>
              <wp:anchor distT="0" distB="0" distL="114300" distR="114300" simplePos="0" relativeHeight="251660288" behindDoc="0" locked="0" layoutInCell="1" allowOverlap="1" wp14:anchorId="40BBADA0" wp14:editId="7B00A94A">
                <wp:simplePos x="0" y="0"/>
                <wp:positionH relativeFrom="column">
                  <wp:posOffset>10509000</wp:posOffset>
                </wp:positionH>
                <wp:positionV relativeFrom="paragraph">
                  <wp:posOffset>77365</wp:posOffset>
                </wp:positionV>
                <wp:extent cx="4320" cy="134280"/>
                <wp:effectExtent l="57150" t="57150" r="34290" b="37465"/>
                <wp:wrapNone/>
                <wp:docPr id="1131223574" name="Input penna 2"/>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4320" cy="134280"/>
                      </w14:xfrm>
                    </w14:contentPart>
                  </a:graphicData>
                </a:graphic>
              </wp:anchor>
            </w:drawing>
          </mc:Choice>
          <mc:Fallback>
            <w:pict>
              <v:shapetype w14:anchorId="726A9E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2" o:spid="_x0000_s1026" type="#_x0000_t75" style="position:absolute;margin-left:826.75pt;margin-top:5.4pt;width:1.9pt;height:1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">
                <v:imagedata r:id="rId10" o:title=""/>
                <o:lock v:ext="edit" rotation="t" aspectratio="f"/>
              </v:shape>
            </w:pict>
          </mc:Fallback>
        </mc:AlternateContent>
      </w:r>
      <w:r w:rsidRPr="00494AB3">
        <w:rPr>
          <w:rFonts w:ascii="Rubik" w:hAnsi="Rubik" w:cs="Rubik" w:hint="cs"/>
          <w:noProof/>
          <w:sz w:val="22"/>
          <w:szCs w:val="22"/>
        </w:rPr>
        <mc:AlternateContent>
          <mc:Choice Requires="wpi">
            <w:drawing>
              <wp:anchor distT="0" distB="0" distL="114300" distR="114300" simplePos="0" relativeHeight="251659264" behindDoc="0" locked="0" layoutInCell="1" allowOverlap="1" wp14:anchorId="636B77BD" wp14:editId="2CDD713E">
                <wp:simplePos x="0" y="0"/>
                <wp:positionH relativeFrom="column">
                  <wp:posOffset>10487040</wp:posOffset>
                </wp:positionH>
                <wp:positionV relativeFrom="paragraph">
                  <wp:posOffset>564085</wp:posOffset>
                </wp:positionV>
                <wp:extent cx="1440" cy="9360"/>
                <wp:effectExtent l="57150" t="57150" r="36830" b="29210"/>
                <wp:wrapNone/>
                <wp:docPr id="1775371390" name="Input penna 1"/>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1440" cy="9360"/>
                      </w14:xfrm>
                    </w14:contentPart>
                  </a:graphicData>
                </a:graphic>
              </wp:anchor>
            </w:drawing>
          </mc:Choice>
          <mc:Fallback>
            <w:pict>
              <v:shape w14:anchorId="0BA50B10" id="Input penna 1" o:spid="_x0000_s1026" type="#_x0000_t75" style="position:absolute;margin-left:825.05pt;margin-top:43.7pt;width:1.5pt;height:2.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">
                <v:imagedata r:id="rId12" o:title=""/>
                <o:lock v:ext="edit" rotation="t" aspectratio="f"/>
              </v:shape>
            </w:pict>
          </mc:Fallback>
        </mc:AlternateContent>
      </w:r>
      <w:r w:rsidRPr="00494AB3">
        <w:rPr>
          <w:rFonts w:ascii="Rubik" w:hAnsi="Rubik" w:cs="Rubik" w:hint="cs"/>
          <w:sz w:val="22"/>
          <w:szCs w:val="22"/>
        </w:rPr>
        <w:t>Secondo i dati ISTAT e Bankitalia, nel 2024 l’Italia ha registrato 129,3 milioni di arrivi turistici e 458,4 milioni di presenze, di cui il 55% (oltre 250 milioni) straniere</w:t>
      </w:r>
      <w:r w:rsidR="00A3065C" w:rsidRPr="00494AB3">
        <w:rPr>
          <w:rFonts w:ascii="Rubik" w:hAnsi="Rubik" w:cs="Rubik"/>
          <w:sz w:val="22"/>
          <w:szCs w:val="22"/>
        </w:rPr>
        <w:t xml:space="preserve">, </w:t>
      </w:r>
      <w:r w:rsidRPr="00494AB3">
        <w:rPr>
          <w:rFonts w:ascii="Rubik" w:hAnsi="Rubik" w:cs="Rubik" w:hint="cs"/>
          <w:sz w:val="22"/>
          <w:szCs w:val="22"/>
        </w:rPr>
        <w:t>per una spesa complessiva di 33,9 miliardi di euro. In Giappone, la Japan National Tourism Organization stima 36,9 milioni di turisti stranieri nel 2024, con una spesa record di oltre 8.100 miliardi di yen (circa 53 miliardi di dollari). Questi volumi generano alcune criticità: a Venezia, con circa 25 milioni di visitatori l’anno (di cui il 70% si ferma solo per poche ore) su circa 250.000 residenti, la pressione è ormai strutturale (fonte Boston Consulting Group); Firenze supera i 10 milioni di presenze annue. Secondo il Ministero dell’Ambiente giapponese, nel corso della stagione estiva 2022 (1° luglio–10 settembre) sul Monte Fuji sono transitate oltre 160</w:t>
      </w:r>
      <w:r w:rsidRPr="00494AB3">
        <w:rPr>
          <w:sz w:val="22"/>
          <w:szCs w:val="22"/>
        </w:rPr>
        <w:t>.</w:t>
      </w:r>
      <w:r w:rsidRPr="00494AB3">
        <w:rPr>
          <w:rFonts w:ascii="Rubik" w:hAnsi="Rubik" w:cs="Rubik" w:hint="cs"/>
          <w:sz w:val="22"/>
          <w:szCs w:val="22"/>
        </w:rPr>
        <w:t>000 persone.</w:t>
      </w:r>
    </w:p>
    <w:p w14:paraId="643A3F5E" w14:textId="77777777" w:rsidR="00C66F36" w:rsidRPr="00494AB3" w:rsidRDefault="00C66F36" w:rsidP="00C66F36">
      <w:pPr>
        <w:jc w:val="both"/>
        <w:rPr>
          <w:rFonts w:ascii="Rubik" w:hAnsi="Rubik" w:cs="Rubik"/>
          <w:sz w:val="22"/>
          <w:szCs w:val="22"/>
        </w:rPr>
      </w:pPr>
    </w:p>
    <w:p w14:paraId="791DFCB3" w14:textId="61B0299D" w:rsidR="00C66F36" w:rsidRPr="00494AB3" w:rsidRDefault="00C66F36" w:rsidP="00C66F36">
      <w:pPr>
        <w:jc w:val="both"/>
        <w:rPr>
          <w:rFonts w:ascii="Rubik" w:hAnsi="Rubik" w:cs="Rubik"/>
          <w:b/>
          <w:bCs/>
          <w:sz w:val="22"/>
          <w:szCs w:val="22"/>
        </w:rPr>
      </w:pPr>
      <w:r w:rsidRPr="00494AB3">
        <w:rPr>
          <w:rFonts w:ascii="Rubik" w:hAnsi="Rubik" w:cs="Rubik" w:hint="cs"/>
          <w:sz w:val="22"/>
          <w:szCs w:val="22"/>
        </w:rPr>
        <w:t>Accanto ai numeri</w:t>
      </w:r>
      <w:r w:rsidRPr="00494AB3">
        <w:rPr>
          <w:rFonts w:ascii="Rubik" w:hAnsi="Rubik" w:cs="Rubik"/>
          <w:sz w:val="22"/>
          <w:szCs w:val="22"/>
        </w:rPr>
        <w:t xml:space="preserve">, </w:t>
      </w:r>
      <w:r w:rsidRPr="00494AB3">
        <w:rPr>
          <w:rFonts w:ascii="Rubik" w:hAnsi="Rubik" w:cs="Rubik" w:hint="cs"/>
          <w:sz w:val="22"/>
          <w:szCs w:val="22"/>
        </w:rPr>
        <w:t>destinati a crescere nei prossimi dieci anni</w:t>
      </w:r>
      <w:r w:rsidRPr="00494AB3">
        <w:rPr>
          <w:rFonts w:ascii="Rubik" w:hAnsi="Rubik" w:cs="Rubik"/>
          <w:sz w:val="22"/>
          <w:szCs w:val="22"/>
        </w:rPr>
        <w:t xml:space="preserve"> se non si agisce mediante politiche territoriali equilibrate</w:t>
      </w:r>
      <w:r w:rsidRPr="00494AB3">
        <w:rPr>
          <w:rFonts w:ascii="Rubik" w:hAnsi="Rubik" w:cs="Rubik" w:hint="cs"/>
          <w:sz w:val="22"/>
          <w:szCs w:val="22"/>
        </w:rPr>
        <w:t xml:space="preserve">, cresce la consapevolezza dell’impatto dell’affollamento anche nella percezione dei viaggiatori. Un’indagine condotta tra gennaio e febbraio 2025 da Roberta Garibaldi, docente all’Università </w:t>
      </w:r>
      <w:r w:rsidRPr="00494AB3">
        <w:rPr>
          <w:rFonts w:ascii="Rubik" w:hAnsi="Rubik" w:cs="Rubik"/>
          <w:sz w:val="22"/>
          <w:szCs w:val="22"/>
        </w:rPr>
        <w:t xml:space="preserve">degli studi </w:t>
      </w:r>
      <w:r w:rsidRPr="00494AB3">
        <w:rPr>
          <w:rFonts w:ascii="Rubik" w:hAnsi="Rubik" w:cs="Rubik" w:hint="cs"/>
          <w:sz w:val="22"/>
          <w:szCs w:val="22"/>
        </w:rPr>
        <w:t xml:space="preserve">di Bergamo, su un campione rappresentativo di </w:t>
      </w:r>
      <w:r w:rsidR="00A3065C" w:rsidRPr="00494AB3">
        <w:rPr>
          <w:rFonts w:ascii="Rubik" w:hAnsi="Rubik" w:cs="Rubik"/>
          <w:b/>
          <w:bCs/>
          <w:sz w:val="22"/>
          <w:szCs w:val="22"/>
        </w:rPr>
        <w:t>i</w:t>
      </w:r>
      <w:r w:rsidRPr="00494AB3">
        <w:rPr>
          <w:rFonts w:ascii="Rubik" w:hAnsi="Rubik" w:cs="Rubik" w:hint="cs"/>
          <w:b/>
          <w:bCs/>
          <w:sz w:val="22"/>
          <w:szCs w:val="22"/>
        </w:rPr>
        <w:t>taliani</w:t>
      </w:r>
      <w:r w:rsidRPr="00494AB3">
        <w:rPr>
          <w:rFonts w:ascii="Rubik" w:hAnsi="Rubik" w:cs="Rubik"/>
          <w:sz w:val="22"/>
          <w:szCs w:val="22"/>
        </w:rPr>
        <w:t>,</w:t>
      </w:r>
      <w:r w:rsidRPr="00494AB3">
        <w:rPr>
          <w:rFonts w:ascii="Rubik" w:hAnsi="Rubik" w:cs="Rubik" w:hint="cs"/>
          <w:b/>
          <w:bCs/>
          <w:sz w:val="22"/>
          <w:szCs w:val="22"/>
        </w:rPr>
        <w:t xml:space="preserve"> </w:t>
      </w:r>
      <w:r w:rsidRPr="00494AB3">
        <w:rPr>
          <w:rFonts w:ascii="Rubik" w:hAnsi="Rubik" w:cs="Rubik" w:hint="cs"/>
          <w:sz w:val="22"/>
          <w:szCs w:val="22"/>
        </w:rPr>
        <w:t xml:space="preserve">evidenzia che </w:t>
      </w:r>
      <w:r w:rsidRPr="00494AB3">
        <w:rPr>
          <w:rFonts w:ascii="Rubik" w:hAnsi="Rubik" w:cs="Rubik" w:hint="cs"/>
          <w:b/>
          <w:bCs/>
          <w:sz w:val="22"/>
          <w:szCs w:val="22"/>
        </w:rPr>
        <w:t>quasi la metà (49,8%) ha vissuto nel 2024 un’esperienza condizionata dal sovraffollamento</w:t>
      </w:r>
      <w:r w:rsidRPr="00494AB3">
        <w:rPr>
          <w:rFonts w:ascii="Rubik" w:hAnsi="Rubik" w:cs="Rubik" w:hint="cs"/>
          <w:sz w:val="22"/>
          <w:szCs w:val="22"/>
        </w:rPr>
        <w:t xml:space="preserve">, con un disagio medio di 6 su 10, percentuale che sale al 54% nella fascia 35-44 anni. Il disagio è maggiore nel Nord Ovest (53,3% di giudizi tra 7 e 10) e Nord Est (49,5%), più contenuto al Sud (45%). Parallelamente, emergono </w:t>
      </w:r>
      <w:r w:rsidRPr="00494AB3">
        <w:rPr>
          <w:rFonts w:ascii="Rubik" w:hAnsi="Rubik" w:cs="Rubik" w:hint="cs"/>
          <w:b/>
          <w:bCs/>
          <w:sz w:val="22"/>
          <w:szCs w:val="22"/>
        </w:rPr>
        <w:t xml:space="preserve">orientamenti chiari sul futuro: sei italiani su dieci vedono nello sviluppo del turismo rurale un mezzo efficace per redistribuire i flussi e alleggerire le destinazioni più congestionate, mentre il 43% si dichiara disposto a pagare di più per esperienze turistiche sostenibili e meno affollate. Il 74% degli </w:t>
      </w:r>
      <w:r w:rsidRPr="00494AB3">
        <w:rPr>
          <w:rFonts w:ascii="Rubik" w:hAnsi="Rubik" w:cs="Rubik"/>
          <w:b/>
          <w:bCs/>
          <w:sz w:val="22"/>
          <w:szCs w:val="22"/>
        </w:rPr>
        <w:t>I</w:t>
      </w:r>
      <w:r w:rsidRPr="00494AB3">
        <w:rPr>
          <w:rFonts w:ascii="Rubik" w:hAnsi="Rubik" w:cs="Rubik" w:hint="cs"/>
          <w:b/>
          <w:bCs/>
          <w:sz w:val="22"/>
          <w:szCs w:val="22"/>
        </w:rPr>
        <w:t>taliani sostiene il potenziamento dei collegamenti verso le aree interne e il 67% individua nel turismo enogastronomico un’opportunità per valorizzare le filiere produttive locali.</w:t>
      </w:r>
    </w:p>
    <w:p w14:paraId="2A79DA21" w14:textId="77777777" w:rsidR="00C66F36" w:rsidRPr="00494AB3" w:rsidRDefault="00C66F36" w:rsidP="00C66F36">
      <w:pPr>
        <w:jc w:val="both"/>
        <w:rPr>
          <w:rFonts w:ascii="Rubik" w:hAnsi="Rubik" w:cs="Rubik"/>
          <w:sz w:val="22"/>
          <w:szCs w:val="22"/>
        </w:rPr>
      </w:pPr>
    </w:p>
    <w:p w14:paraId="1EE6C9AB" w14:textId="244A30D8" w:rsidR="00C66F36" w:rsidRPr="00494AB3" w:rsidRDefault="00C66F36" w:rsidP="00C66F36">
      <w:pPr>
        <w:jc w:val="both"/>
        <w:rPr>
          <w:rFonts w:ascii="Rubik" w:hAnsi="Rubik" w:cs="Rubik"/>
          <w:sz w:val="22"/>
          <w:szCs w:val="22"/>
        </w:rPr>
      </w:pPr>
      <w:r w:rsidRPr="00494AB3">
        <w:rPr>
          <w:rFonts w:ascii="Rubik" w:hAnsi="Rubik" w:cs="Rubik" w:hint="cs"/>
          <w:sz w:val="22"/>
          <w:szCs w:val="22"/>
        </w:rPr>
        <w:t>Anche in Giappone si osservano strategie in questa direzione: secondo il Ministero dell’Agricoltura, circa il 30% dei turisti stranieri ha visitato almeno una destinazione rurale nel 2024.</w:t>
      </w:r>
    </w:p>
    <w:p w14:paraId="09C846AD" w14:textId="77777777" w:rsidR="00C66F36" w:rsidRPr="00494AB3" w:rsidRDefault="00C66F36" w:rsidP="00C66F36">
      <w:pPr>
        <w:jc w:val="both"/>
        <w:rPr>
          <w:rFonts w:ascii="Rubik" w:hAnsi="Rubik" w:cs="Rubik"/>
          <w:sz w:val="22"/>
          <w:szCs w:val="22"/>
        </w:rPr>
      </w:pPr>
    </w:p>
    <w:p w14:paraId="30BABC6A" w14:textId="764227E3" w:rsidR="005D0472" w:rsidRPr="00494AB3" w:rsidRDefault="005D0472" w:rsidP="00C66F36">
      <w:pPr>
        <w:jc w:val="both"/>
        <w:outlineLvl w:val="2"/>
        <w:rPr>
          <w:rFonts w:ascii="Rubik" w:hAnsi="Rubik" w:cs="Rubik"/>
          <w:b/>
          <w:bCs/>
          <w:sz w:val="22"/>
          <w:szCs w:val="22"/>
        </w:rPr>
      </w:pPr>
      <w:r w:rsidRPr="00494AB3">
        <w:rPr>
          <w:rFonts w:ascii="Rubik" w:hAnsi="Rubik" w:cs="Rubik"/>
          <w:b/>
          <w:bCs/>
          <w:sz w:val="22"/>
          <w:szCs w:val="22"/>
        </w:rPr>
        <w:t>LA CONFERENZA DI EXPO OSAKA</w:t>
      </w:r>
    </w:p>
    <w:p w14:paraId="48C92B6A" w14:textId="3F2A8E0F" w:rsidR="00C66F36" w:rsidRPr="00784DD0" w:rsidRDefault="00C66F36" w:rsidP="00C66F36">
      <w:pPr>
        <w:jc w:val="both"/>
        <w:rPr>
          <w:rFonts w:ascii="Rubik" w:hAnsi="Rubik" w:cs="Rubik"/>
          <w:color w:val="0E0E0E"/>
          <w:sz w:val="22"/>
          <w:szCs w:val="22"/>
        </w:rPr>
      </w:pPr>
      <w:r w:rsidRPr="00494AB3">
        <w:rPr>
          <w:rFonts w:ascii="Rubik" w:hAnsi="Rubik" w:cs="Rubik" w:hint="cs"/>
          <w:color w:val="0E0E0E"/>
          <w:sz w:val="22"/>
          <w:szCs w:val="22"/>
        </w:rPr>
        <w:t xml:space="preserve">In questo scenario, caratterizzato da numeri in crescita ma anche da un </w:t>
      </w:r>
      <w:r w:rsidRPr="00494AB3">
        <w:rPr>
          <w:rFonts w:ascii="Rubik" w:hAnsi="Rubik" w:cs="Rubik" w:hint="cs"/>
          <w:b/>
          <w:bCs/>
          <w:color w:val="0E0E0E"/>
          <w:sz w:val="22"/>
          <w:szCs w:val="22"/>
        </w:rPr>
        <w:t>rinnovato bisogno di equilibrio tra ospitalità e qualità della vita</w:t>
      </w:r>
      <w:r w:rsidRPr="00494AB3">
        <w:rPr>
          <w:rFonts w:ascii="Rubik" w:hAnsi="Rubik" w:cs="Rubik" w:hint="cs"/>
          <w:color w:val="0E0E0E"/>
          <w:sz w:val="22"/>
          <w:szCs w:val="22"/>
        </w:rPr>
        <w:t>, si inserisce la riflessione avviata con la conferenza</w:t>
      </w:r>
      <w:r w:rsidRPr="00494AB3">
        <w:rPr>
          <w:rFonts w:ascii="Rubik" w:hAnsi="Rubik" w:cs="Rubik" w:hint="cs"/>
          <w:sz w:val="22"/>
          <w:szCs w:val="22"/>
        </w:rPr>
        <w:t xml:space="preserve"> </w:t>
      </w:r>
      <w:r w:rsidRPr="00494AB3">
        <w:rPr>
          <w:rFonts w:ascii="Rubik" w:hAnsi="Rubik" w:cs="Rubik" w:hint="cs"/>
          <w:i/>
          <w:iCs/>
          <w:sz w:val="22"/>
          <w:szCs w:val="22"/>
        </w:rPr>
        <w:t xml:space="preserve">“Rural </w:t>
      </w:r>
      <w:proofErr w:type="spellStart"/>
      <w:r w:rsidRPr="00494AB3">
        <w:rPr>
          <w:rFonts w:ascii="Rubik" w:hAnsi="Rubik" w:cs="Rubik" w:hint="cs"/>
          <w:i/>
          <w:iCs/>
          <w:sz w:val="22"/>
          <w:szCs w:val="22"/>
        </w:rPr>
        <w:t>Tourism</w:t>
      </w:r>
      <w:proofErr w:type="spellEnd"/>
      <w:r w:rsidRPr="00494AB3">
        <w:rPr>
          <w:rFonts w:ascii="Rubik" w:hAnsi="Rubik" w:cs="Rubik" w:hint="cs"/>
          <w:i/>
          <w:iCs/>
          <w:sz w:val="22"/>
          <w:szCs w:val="22"/>
        </w:rPr>
        <w:t xml:space="preserve"> </w:t>
      </w:r>
      <w:proofErr w:type="spellStart"/>
      <w:r w:rsidRPr="00494AB3">
        <w:rPr>
          <w:rFonts w:ascii="Rubik" w:hAnsi="Rubik" w:cs="Rubik" w:hint="cs"/>
          <w:i/>
          <w:iCs/>
          <w:sz w:val="22"/>
          <w:szCs w:val="22"/>
        </w:rPr>
        <w:t>as</w:t>
      </w:r>
      <w:proofErr w:type="spellEnd"/>
      <w:r w:rsidRPr="00494AB3">
        <w:rPr>
          <w:rFonts w:ascii="Rubik" w:hAnsi="Rubik" w:cs="Rubik" w:hint="cs"/>
          <w:i/>
          <w:iCs/>
          <w:sz w:val="22"/>
          <w:szCs w:val="22"/>
        </w:rPr>
        <w:t xml:space="preserve"> a </w:t>
      </w:r>
      <w:proofErr w:type="spellStart"/>
      <w:r w:rsidRPr="00494AB3">
        <w:rPr>
          <w:rFonts w:ascii="Rubik" w:hAnsi="Rubik" w:cs="Rubik" w:hint="cs"/>
          <w:i/>
          <w:iCs/>
          <w:sz w:val="22"/>
          <w:szCs w:val="22"/>
        </w:rPr>
        <w:t>Response</w:t>
      </w:r>
      <w:proofErr w:type="spellEnd"/>
      <w:r w:rsidRPr="00494AB3">
        <w:rPr>
          <w:rFonts w:ascii="Rubik" w:hAnsi="Rubik" w:cs="Rubik" w:hint="cs"/>
          <w:i/>
          <w:iCs/>
          <w:sz w:val="22"/>
          <w:szCs w:val="22"/>
        </w:rPr>
        <w:t xml:space="preserve"> to </w:t>
      </w:r>
      <w:proofErr w:type="spellStart"/>
      <w:r w:rsidRPr="00494AB3">
        <w:rPr>
          <w:rFonts w:ascii="Rubik" w:hAnsi="Rubik" w:cs="Rubik" w:hint="cs"/>
          <w:i/>
          <w:iCs/>
          <w:sz w:val="22"/>
          <w:szCs w:val="22"/>
        </w:rPr>
        <w:t>Overtourism</w:t>
      </w:r>
      <w:proofErr w:type="spellEnd"/>
      <w:r w:rsidRPr="00494AB3">
        <w:rPr>
          <w:rFonts w:ascii="Rubik" w:hAnsi="Rubik" w:cs="Rubik" w:hint="cs"/>
          <w:i/>
          <w:iCs/>
          <w:sz w:val="22"/>
          <w:szCs w:val="22"/>
        </w:rPr>
        <w:t xml:space="preserve">: A Comparative </w:t>
      </w:r>
      <w:proofErr w:type="spellStart"/>
      <w:r w:rsidRPr="00494AB3">
        <w:rPr>
          <w:rFonts w:ascii="Rubik" w:hAnsi="Rubik" w:cs="Rubik" w:hint="cs"/>
          <w:i/>
          <w:iCs/>
          <w:sz w:val="22"/>
          <w:szCs w:val="22"/>
        </w:rPr>
        <w:t>Perspective</w:t>
      </w:r>
      <w:proofErr w:type="spellEnd"/>
      <w:r w:rsidRPr="00494AB3">
        <w:rPr>
          <w:rFonts w:ascii="Rubik" w:hAnsi="Rubik" w:cs="Rubik" w:hint="cs"/>
          <w:i/>
          <w:iCs/>
          <w:sz w:val="22"/>
          <w:szCs w:val="22"/>
        </w:rPr>
        <w:t>”</w:t>
      </w:r>
      <w:r w:rsidRPr="00494AB3">
        <w:rPr>
          <w:rFonts w:ascii="Rubik" w:hAnsi="Rubik" w:cs="Rubik" w:hint="cs"/>
          <w:sz w:val="22"/>
          <w:szCs w:val="22"/>
        </w:rPr>
        <w:t xml:space="preserve">, </w:t>
      </w:r>
      <w:r w:rsidRPr="00494AB3">
        <w:rPr>
          <w:rFonts w:ascii="Rubik" w:hAnsi="Rubik" w:cs="Rubik" w:hint="cs"/>
          <w:color w:val="0E0E0E"/>
          <w:sz w:val="22"/>
          <w:szCs w:val="22"/>
        </w:rPr>
        <w:t xml:space="preserve">promossa dall’Università </w:t>
      </w:r>
      <w:r w:rsidRPr="00494AB3">
        <w:rPr>
          <w:rFonts w:ascii="Rubik" w:hAnsi="Rubik" w:cs="Rubik"/>
          <w:color w:val="0E0E0E"/>
          <w:sz w:val="22"/>
          <w:szCs w:val="22"/>
        </w:rPr>
        <w:t xml:space="preserve">degli studi </w:t>
      </w:r>
      <w:r w:rsidRPr="00494AB3">
        <w:rPr>
          <w:rFonts w:ascii="Rubik" w:hAnsi="Rubik" w:cs="Rubik" w:hint="cs"/>
          <w:color w:val="0E0E0E"/>
          <w:sz w:val="22"/>
          <w:szCs w:val="22"/>
        </w:rPr>
        <w:t xml:space="preserve">di Bergamo a </w:t>
      </w:r>
      <w:r w:rsidRPr="00494AB3">
        <w:rPr>
          <w:rFonts w:ascii="Rubik" w:hAnsi="Rubik" w:cs="Rubik" w:hint="cs"/>
          <w:b/>
          <w:bCs/>
          <w:color w:val="0E0E0E"/>
          <w:sz w:val="22"/>
          <w:szCs w:val="22"/>
        </w:rPr>
        <w:t>Expo Osaka</w:t>
      </w:r>
      <w:r w:rsidRPr="00494AB3">
        <w:rPr>
          <w:rFonts w:ascii="Rubik" w:hAnsi="Rubik" w:cs="Rubik"/>
          <w:color w:val="0E0E0E"/>
          <w:sz w:val="22"/>
          <w:szCs w:val="22"/>
        </w:rPr>
        <w:t xml:space="preserve">, </w:t>
      </w:r>
      <w:r w:rsidRPr="00494AB3">
        <w:rPr>
          <w:rFonts w:ascii="Rubik" w:hAnsi="Rubik" w:cs="Rubik" w:hint="cs"/>
          <w:color w:val="0E0E0E"/>
          <w:sz w:val="22"/>
          <w:szCs w:val="22"/>
        </w:rPr>
        <w:t>dedicata a individuare soluzioni e prospettive sostenibili per il turismo del futuro</w:t>
      </w:r>
      <w:r w:rsidRPr="00494AB3">
        <w:rPr>
          <w:rFonts w:ascii="Rubik" w:hAnsi="Rubik" w:cs="Rubik"/>
          <w:color w:val="0E0E0E"/>
          <w:sz w:val="22"/>
          <w:szCs w:val="22"/>
        </w:rPr>
        <w:t xml:space="preserve"> e organizzata</w:t>
      </w:r>
      <w:r w:rsidRPr="00494AB3">
        <w:rPr>
          <w:rFonts w:ascii="Rubik" w:hAnsi="Rubik" w:cs="Rubik"/>
          <w:sz w:val="22"/>
          <w:szCs w:val="22"/>
        </w:rPr>
        <w:t xml:space="preserve"> nel</w:t>
      </w:r>
      <w:r w:rsidRPr="00494AB3">
        <w:rPr>
          <w:rFonts w:ascii="Rubik" w:hAnsi="Rubik" w:cs="Rubik" w:hint="cs"/>
          <w:sz w:val="22"/>
          <w:szCs w:val="22"/>
        </w:rPr>
        <w:t xml:space="preserve"> Padiglione Italia</w:t>
      </w:r>
      <w:r w:rsidRPr="00494AB3">
        <w:rPr>
          <w:rFonts w:ascii="Rubik" w:hAnsi="Rubik" w:cs="Rubik"/>
          <w:sz w:val="22"/>
          <w:szCs w:val="22"/>
        </w:rPr>
        <w:t xml:space="preserve">, </w:t>
      </w:r>
      <w:r w:rsidRPr="00784DD0">
        <w:rPr>
          <w:rFonts w:ascii="Rubik" w:hAnsi="Rubik" w:cs="Rubik"/>
          <w:sz w:val="22"/>
          <w:szCs w:val="22"/>
        </w:rPr>
        <w:t>realizzato dall’architetto italiano Mario Cucinella recentemente ospite di apertura della rassegna Bergamo Next Level 2025 di UniBg</w:t>
      </w:r>
      <w:r w:rsidRPr="00784DD0">
        <w:rPr>
          <w:rFonts w:ascii="Rubik" w:hAnsi="Rubik" w:cs="Rubik" w:hint="cs"/>
          <w:color w:val="0E0E0E"/>
          <w:sz w:val="22"/>
          <w:szCs w:val="22"/>
        </w:rPr>
        <w:t>.</w:t>
      </w:r>
    </w:p>
    <w:p w14:paraId="68934AEF" w14:textId="77777777" w:rsidR="00C66F36" w:rsidRPr="00784DD0" w:rsidRDefault="00C66F36" w:rsidP="00C66F36">
      <w:pPr>
        <w:jc w:val="both"/>
        <w:rPr>
          <w:rFonts w:ascii="Rubik" w:hAnsi="Rubik" w:cs="Rubik"/>
          <w:color w:val="0E0E0E"/>
          <w:sz w:val="22"/>
          <w:szCs w:val="22"/>
        </w:rPr>
      </w:pPr>
    </w:p>
    <w:p w14:paraId="4938C775" w14:textId="77777777" w:rsidR="00EB0422" w:rsidRPr="00784DD0" w:rsidRDefault="00C66F36" w:rsidP="00EB0422">
      <w:pPr>
        <w:jc w:val="both"/>
        <w:rPr>
          <w:rFonts w:ascii="Rubik" w:hAnsi="Rubik" w:cs="Rubik"/>
          <w:sz w:val="22"/>
          <w:szCs w:val="22"/>
        </w:rPr>
      </w:pPr>
      <w:r w:rsidRPr="00784DD0">
        <w:rPr>
          <w:rFonts w:ascii="Rubik" w:hAnsi="Rubik" w:cs="Rubik" w:hint="cs"/>
          <w:sz w:val="22"/>
          <w:szCs w:val="22"/>
        </w:rPr>
        <w:t>L’appuntamento</w:t>
      </w:r>
      <w:r w:rsidR="005D0472" w:rsidRPr="00784DD0">
        <w:rPr>
          <w:rFonts w:ascii="Rubik" w:hAnsi="Rubik" w:cs="Rubik"/>
          <w:sz w:val="22"/>
          <w:szCs w:val="22"/>
        </w:rPr>
        <w:t xml:space="preserve">, che </w:t>
      </w:r>
      <w:r w:rsidR="00830E08" w:rsidRPr="00784DD0">
        <w:rPr>
          <w:rFonts w:ascii="Rubik" w:hAnsi="Rubik" w:cs="Rubik" w:hint="cs"/>
          <w:sz w:val="22"/>
          <w:szCs w:val="22"/>
        </w:rPr>
        <w:t xml:space="preserve">ha riunito </w:t>
      </w:r>
      <w:r w:rsidR="00830E08" w:rsidRPr="00784DD0">
        <w:rPr>
          <w:rFonts w:ascii="Rubik" w:hAnsi="Rubik" w:cs="Rubik" w:hint="cs"/>
          <w:b/>
          <w:bCs/>
          <w:sz w:val="22"/>
          <w:szCs w:val="22"/>
        </w:rPr>
        <w:t>studiosi, amministratori pubblici e operatori del settore</w:t>
      </w:r>
      <w:r w:rsidR="00830E08" w:rsidRPr="00784DD0">
        <w:rPr>
          <w:rFonts w:ascii="Rubik" w:hAnsi="Rubik" w:cs="Rubik"/>
          <w:sz w:val="22"/>
          <w:szCs w:val="22"/>
        </w:rPr>
        <w:t xml:space="preserve">, </w:t>
      </w:r>
      <w:r w:rsidRPr="00784DD0">
        <w:rPr>
          <w:rFonts w:ascii="Rubik" w:hAnsi="Rubik" w:cs="Rubik"/>
          <w:sz w:val="22"/>
          <w:szCs w:val="22"/>
        </w:rPr>
        <w:t>ha visto la partecipazione</w:t>
      </w:r>
      <w:r w:rsidR="00830E08" w:rsidRPr="00784DD0">
        <w:rPr>
          <w:rFonts w:ascii="Rubik" w:hAnsi="Rubik" w:cs="Rubik"/>
          <w:sz w:val="22"/>
          <w:szCs w:val="22"/>
        </w:rPr>
        <w:t xml:space="preserve">, in rappresentanza </w:t>
      </w:r>
      <w:r w:rsidR="003D3115" w:rsidRPr="00784DD0">
        <w:rPr>
          <w:rFonts w:ascii="Rubik" w:hAnsi="Rubik" w:cs="Rubik"/>
          <w:sz w:val="22"/>
          <w:szCs w:val="22"/>
        </w:rPr>
        <w:t>dell’Università</w:t>
      </w:r>
      <w:r w:rsidR="00830E08" w:rsidRPr="00784DD0">
        <w:rPr>
          <w:rFonts w:ascii="Rubik" w:hAnsi="Rubik" w:cs="Rubik"/>
          <w:sz w:val="22"/>
          <w:szCs w:val="22"/>
        </w:rPr>
        <w:t>,</w:t>
      </w:r>
      <w:r w:rsidRPr="00784DD0">
        <w:rPr>
          <w:rFonts w:ascii="Rubik" w:hAnsi="Rubik" w:cs="Rubik"/>
          <w:sz w:val="22"/>
          <w:szCs w:val="22"/>
        </w:rPr>
        <w:t xml:space="preserve"> delle prorettrici </w:t>
      </w:r>
      <w:r w:rsidRPr="00784DD0">
        <w:rPr>
          <w:rFonts w:ascii="Rubik" w:hAnsi="Rubik" w:cs="Rubik"/>
          <w:b/>
          <w:bCs/>
          <w:sz w:val="22"/>
          <w:szCs w:val="22"/>
        </w:rPr>
        <w:t>Elisabetta Bani</w:t>
      </w:r>
      <w:r w:rsidRPr="00784DD0">
        <w:rPr>
          <w:rFonts w:ascii="Rubik" w:hAnsi="Rubik" w:cs="Rubik"/>
          <w:sz w:val="22"/>
          <w:szCs w:val="22"/>
        </w:rPr>
        <w:t xml:space="preserve"> e </w:t>
      </w:r>
      <w:r w:rsidRPr="00784DD0">
        <w:rPr>
          <w:rFonts w:ascii="Rubik" w:hAnsi="Rubik" w:cs="Rubik"/>
          <w:b/>
          <w:bCs/>
          <w:sz w:val="22"/>
          <w:szCs w:val="22"/>
        </w:rPr>
        <w:t>Flaminia Nicora</w:t>
      </w:r>
      <w:r w:rsidRPr="00784DD0">
        <w:rPr>
          <w:rFonts w:ascii="Rubik" w:hAnsi="Rubik" w:cs="Rubik"/>
          <w:sz w:val="22"/>
          <w:szCs w:val="22"/>
        </w:rPr>
        <w:t>,</w:t>
      </w:r>
      <w:r w:rsidR="00830E08" w:rsidRPr="00784DD0">
        <w:rPr>
          <w:rFonts w:ascii="Rubik" w:hAnsi="Rubik" w:cs="Rubik"/>
          <w:sz w:val="22"/>
          <w:szCs w:val="22"/>
        </w:rPr>
        <w:t xml:space="preserve"> del referente per gli accordi con il Giappone </w:t>
      </w:r>
      <w:r w:rsidR="00830E08" w:rsidRPr="00784DD0">
        <w:rPr>
          <w:rFonts w:ascii="Rubik" w:hAnsi="Rubik" w:cs="Rubik"/>
          <w:b/>
          <w:bCs/>
          <w:sz w:val="22"/>
          <w:szCs w:val="22"/>
        </w:rPr>
        <w:t>Cristian Pallone</w:t>
      </w:r>
      <w:r w:rsidRPr="00784DD0">
        <w:rPr>
          <w:rFonts w:ascii="Rubik" w:hAnsi="Rubik" w:cs="Rubik"/>
          <w:sz w:val="22"/>
          <w:szCs w:val="22"/>
        </w:rPr>
        <w:t>,</w:t>
      </w:r>
      <w:r w:rsidR="00830E08" w:rsidRPr="00784DD0">
        <w:rPr>
          <w:rFonts w:ascii="Rubik" w:hAnsi="Rubik" w:cs="Rubik"/>
          <w:sz w:val="22"/>
          <w:szCs w:val="22"/>
        </w:rPr>
        <w:t xml:space="preserve"> che ha reso possibile la partecipazione al convegno di docenti e studenti di Università partner,</w:t>
      </w:r>
      <w:r w:rsidRPr="00784DD0">
        <w:rPr>
          <w:rFonts w:ascii="Rubik" w:hAnsi="Rubik" w:cs="Rubik"/>
          <w:sz w:val="22"/>
          <w:szCs w:val="22"/>
        </w:rPr>
        <w:t xml:space="preserve"> insieme a una delegazione di docenti del corso di laurea in </w:t>
      </w:r>
      <w:r w:rsidRPr="00784DD0">
        <w:rPr>
          <w:rFonts w:ascii="Rubik" w:hAnsi="Rubik" w:cs="Rubik"/>
          <w:i/>
          <w:iCs/>
          <w:sz w:val="22"/>
          <w:szCs w:val="22"/>
        </w:rPr>
        <w:t>Planning and Management of Tourism Systems</w:t>
      </w:r>
      <w:r w:rsidRPr="00784DD0">
        <w:rPr>
          <w:rFonts w:ascii="Rubik" w:hAnsi="Rubik" w:cs="Rubik"/>
          <w:sz w:val="22"/>
          <w:szCs w:val="22"/>
        </w:rPr>
        <w:t xml:space="preserve"> di Uni</w:t>
      </w:r>
      <w:r w:rsidR="005D0472" w:rsidRPr="00784DD0">
        <w:rPr>
          <w:rFonts w:ascii="Rubik" w:hAnsi="Rubik" w:cs="Rubik"/>
          <w:sz w:val="22"/>
          <w:szCs w:val="22"/>
        </w:rPr>
        <w:t>B</w:t>
      </w:r>
      <w:r w:rsidRPr="00784DD0">
        <w:rPr>
          <w:rFonts w:ascii="Rubik" w:hAnsi="Rubik" w:cs="Rubik"/>
          <w:sz w:val="22"/>
          <w:szCs w:val="22"/>
        </w:rPr>
        <w:t xml:space="preserve">g, come </w:t>
      </w:r>
      <w:r w:rsidRPr="00784DD0">
        <w:rPr>
          <w:rFonts w:ascii="Rubik" w:hAnsi="Rubik" w:cs="Rubik"/>
          <w:b/>
          <w:bCs/>
          <w:sz w:val="22"/>
          <w:szCs w:val="22"/>
        </w:rPr>
        <w:t>Roberta Garibaldi</w:t>
      </w:r>
      <w:r w:rsidR="005D0472" w:rsidRPr="00784DD0">
        <w:rPr>
          <w:rFonts w:ascii="Rubik" w:hAnsi="Rubik" w:cs="Rubik"/>
          <w:sz w:val="22"/>
          <w:szCs w:val="22"/>
        </w:rPr>
        <w:t xml:space="preserve"> e</w:t>
      </w:r>
      <w:r w:rsidRPr="00784DD0">
        <w:rPr>
          <w:rFonts w:ascii="Rubik" w:hAnsi="Rubik" w:cs="Rubik"/>
          <w:sz w:val="22"/>
          <w:szCs w:val="22"/>
        </w:rPr>
        <w:t xml:space="preserve"> </w:t>
      </w:r>
      <w:r w:rsidRPr="00784DD0">
        <w:rPr>
          <w:rFonts w:ascii="Rubik" w:hAnsi="Rubik" w:cs="Rubik"/>
          <w:b/>
          <w:bCs/>
          <w:sz w:val="22"/>
          <w:szCs w:val="22"/>
        </w:rPr>
        <w:t>Federica Burini</w:t>
      </w:r>
      <w:r w:rsidR="005D0472" w:rsidRPr="00784DD0">
        <w:rPr>
          <w:rFonts w:ascii="Rubik" w:hAnsi="Rubik" w:cs="Rubik"/>
          <w:sz w:val="22"/>
          <w:szCs w:val="22"/>
        </w:rPr>
        <w:t xml:space="preserve">, </w:t>
      </w:r>
      <w:r w:rsidRPr="00784DD0">
        <w:rPr>
          <w:rFonts w:ascii="Rubik" w:hAnsi="Rubik" w:cs="Rubik"/>
          <w:sz w:val="22"/>
          <w:szCs w:val="22"/>
        </w:rPr>
        <w:t xml:space="preserve">e </w:t>
      </w:r>
      <w:r w:rsidRPr="00784DD0">
        <w:rPr>
          <w:rFonts w:ascii="Rubik" w:hAnsi="Rubik" w:cs="Rubik"/>
          <w:b/>
          <w:bCs/>
          <w:sz w:val="22"/>
          <w:szCs w:val="22"/>
        </w:rPr>
        <w:t>Dauro Zocchi</w:t>
      </w:r>
      <w:r w:rsidR="005D0472" w:rsidRPr="00784DD0">
        <w:rPr>
          <w:rFonts w:ascii="Rubik" w:hAnsi="Rubik" w:cs="Rubik"/>
          <w:sz w:val="22"/>
          <w:szCs w:val="22"/>
        </w:rPr>
        <w:t xml:space="preserve">, </w:t>
      </w:r>
      <w:r w:rsidRPr="00784DD0">
        <w:rPr>
          <w:rFonts w:ascii="Rubik" w:hAnsi="Rubik" w:cs="Rubik"/>
          <w:sz w:val="22"/>
          <w:szCs w:val="22"/>
        </w:rPr>
        <w:t>collaboratore alla ricerca sul progetto Horizon Crocus che si occupa proprio delle questioni affrontate dal convegno</w:t>
      </w:r>
      <w:r w:rsidR="00830E08" w:rsidRPr="00784DD0">
        <w:rPr>
          <w:rFonts w:ascii="Rubik" w:hAnsi="Rubik" w:cs="Rubik"/>
          <w:sz w:val="22"/>
          <w:szCs w:val="22"/>
        </w:rPr>
        <w:t xml:space="preserve">. Presenti </w:t>
      </w:r>
      <w:r w:rsidR="00A8270C" w:rsidRPr="00784DD0">
        <w:rPr>
          <w:rFonts w:ascii="Rubik" w:hAnsi="Rubik" w:cs="Rubik"/>
          <w:sz w:val="22"/>
          <w:szCs w:val="22"/>
        </w:rPr>
        <w:t xml:space="preserve">come uditori </w:t>
      </w:r>
      <w:r w:rsidR="00830E08" w:rsidRPr="00784DD0">
        <w:rPr>
          <w:rFonts w:ascii="Rubik" w:hAnsi="Rubik" w:cs="Rubik"/>
          <w:sz w:val="22"/>
          <w:szCs w:val="22"/>
        </w:rPr>
        <w:t xml:space="preserve">anche </w:t>
      </w:r>
      <w:r w:rsidR="00830E08" w:rsidRPr="00784DD0">
        <w:rPr>
          <w:rFonts w:ascii="Rubik" w:hAnsi="Rubik" w:cs="Rubik"/>
          <w:b/>
          <w:bCs/>
          <w:sz w:val="22"/>
          <w:szCs w:val="22"/>
        </w:rPr>
        <w:t xml:space="preserve">cinque studenti UniBg </w:t>
      </w:r>
      <w:r w:rsidR="00830E08" w:rsidRPr="00784DD0">
        <w:rPr>
          <w:rFonts w:ascii="Rubik" w:hAnsi="Rubik" w:cs="Rubik"/>
          <w:sz w:val="22"/>
          <w:szCs w:val="22"/>
        </w:rPr>
        <w:t xml:space="preserve">che stanno sperimentando </w:t>
      </w:r>
      <w:r w:rsidR="00C50F53" w:rsidRPr="00784DD0">
        <w:rPr>
          <w:rFonts w:ascii="Rubik" w:hAnsi="Rubik" w:cs="Rubik"/>
          <w:sz w:val="22"/>
          <w:szCs w:val="22"/>
        </w:rPr>
        <w:t>l</w:t>
      </w:r>
      <w:r w:rsidR="00830E08" w:rsidRPr="00784DD0">
        <w:rPr>
          <w:rFonts w:ascii="Rubik" w:hAnsi="Rubik" w:cs="Rubik"/>
          <w:sz w:val="22"/>
          <w:szCs w:val="22"/>
        </w:rPr>
        <w:t xml:space="preserve">a mobilità per </w:t>
      </w:r>
      <w:r w:rsidR="00C50F53" w:rsidRPr="00784DD0">
        <w:rPr>
          <w:rFonts w:ascii="Rubik" w:hAnsi="Rubik" w:cs="Rubik"/>
          <w:sz w:val="22"/>
          <w:szCs w:val="22"/>
        </w:rPr>
        <w:t xml:space="preserve">motivi di </w:t>
      </w:r>
      <w:r w:rsidR="00830E08" w:rsidRPr="00784DD0">
        <w:rPr>
          <w:rFonts w:ascii="Rubik" w:hAnsi="Rubik" w:cs="Rubik"/>
          <w:sz w:val="22"/>
          <w:szCs w:val="22"/>
        </w:rPr>
        <w:t xml:space="preserve">studio presso </w:t>
      </w:r>
      <w:r w:rsidR="00C50F53" w:rsidRPr="00784DD0">
        <w:rPr>
          <w:rFonts w:ascii="Rubik" w:hAnsi="Rubik" w:cs="Rubik"/>
          <w:sz w:val="22"/>
          <w:szCs w:val="22"/>
        </w:rPr>
        <w:t xml:space="preserve">la </w:t>
      </w:r>
      <w:proofErr w:type="spellStart"/>
      <w:r w:rsidR="004D46E4" w:rsidRPr="00784DD0">
        <w:rPr>
          <w:rFonts w:ascii="Rubik" w:hAnsi="Rubik" w:cs="Rubik"/>
          <w:sz w:val="22"/>
          <w:szCs w:val="22"/>
        </w:rPr>
        <w:t>Kwansei</w:t>
      </w:r>
      <w:proofErr w:type="spellEnd"/>
      <w:r w:rsidR="004D46E4" w:rsidRPr="00784DD0">
        <w:rPr>
          <w:rFonts w:ascii="Rubik" w:hAnsi="Rubik" w:cs="Rubik"/>
          <w:sz w:val="22"/>
          <w:szCs w:val="22"/>
        </w:rPr>
        <w:t xml:space="preserve"> </w:t>
      </w:r>
      <w:proofErr w:type="spellStart"/>
      <w:r w:rsidR="004D46E4" w:rsidRPr="00784DD0">
        <w:rPr>
          <w:rFonts w:ascii="Rubik" w:hAnsi="Rubik" w:cs="Rubik"/>
          <w:sz w:val="22"/>
          <w:szCs w:val="22"/>
        </w:rPr>
        <w:t>Gakuin</w:t>
      </w:r>
      <w:proofErr w:type="spellEnd"/>
      <w:r w:rsidR="004D46E4" w:rsidRPr="00784DD0">
        <w:rPr>
          <w:rFonts w:ascii="Rubik" w:hAnsi="Rubik" w:cs="Rubik"/>
          <w:sz w:val="22"/>
          <w:szCs w:val="22"/>
        </w:rPr>
        <w:t xml:space="preserve"> University, insieme a docenti e studenti della stessa università</w:t>
      </w:r>
      <w:r w:rsidR="003D3115" w:rsidRPr="00784DD0">
        <w:rPr>
          <w:rFonts w:ascii="Rubik" w:hAnsi="Rubik" w:cs="Rubik"/>
          <w:sz w:val="22"/>
          <w:szCs w:val="22"/>
        </w:rPr>
        <w:t xml:space="preserve"> e di</w:t>
      </w:r>
      <w:r w:rsidR="004D46E4" w:rsidRPr="00784DD0">
        <w:rPr>
          <w:rFonts w:ascii="Rubik" w:hAnsi="Rubik" w:cs="Rubik"/>
          <w:sz w:val="22"/>
          <w:szCs w:val="22"/>
        </w:rPr>
        <w:t xml:space="preserve"> </w:t>
      </w:r>
      <w:proofErr w:type="spellStart"/>
      <w:r w:rsidR="004D46E4" w:rsidRPr="00784DD0">
        <w:rPr>
          <w:rFonts w:ascii="Rubik" w:hAnsi="Rubik" w:cs="Rubik"/>
          <w:sz w:val="22"/>
          <w:szCs w:val="22"/>
        </w:rPr>
        <w:t>Ritsumeikan</w:t>
      </w:r>
      <w:proofErr w:type="spellEnd"/>
      <w:r w:rsidR="004D46E4" w:rsidRPr="00784DD0">
        <w:rPr>
          <w:rFonts w:ascii="Rubik" w:hAnsi="Rubik" w:cs="Rubik"/>
          <w:sz w:val="22"/>
          <w:szCs w:val="22"/>
        </w:rPr>
        <w:t xml:space="preserve"> University</w:t>
      </w:r>
      <w:r w:rsidR="003D3115" w:rsidRPr="00784DD0">
        <w:rPr>
          <w:rFonts w:ascii="Rubik" w:hAnsi="Rubik" w:cs="Rubik"/>
          <w:sz w:val="22"/>
          <w:szCs w:val="22"/>
        </w:rPr>
        <w:t xml:space="preserve">, </w:t>
      </w:r>
      <w:r w:rsidR="004D46E4" w:rsidRPr="00784DD0">
        <w:rPr>
          <w:rFonts w:ascii="Rubik" w:hAnsi="Rubik" w:cs="Rubik"/>
          <w:sz w:val="22"/>
          <w:szCs w:val="22"/>
        </w:rPr>
        <w:t>Kanagawa University</w:t>
      </w:r>
      <w:r w:rsidR="003D3115" w:rsidRPr="00784DD0">
        <w:rPr>
          <w:rFonts w:ascii="Rubik" w:hAnsi="Rubik" w:cs="Rubik"/>
          <w:sz w:val="22"/>
          <w:szCs w:val="22"/>
        </w:rPr>
        <w:t xml:space="preserve">, </w:t>
      </w:r>
      <w:r w:rsidR="00B479AE" w:rsidRPr="00784DD0">
        <w:rPr>
          <w:rFonts w:ascii="Rubik" w:hAnsi="Rubik" w:cs="Rubik" w:hint="cs"/>
          <w:sz w:val="22"/>
          <w:szCs w:val="22"/>
        </w:rPr>
        <w:t xml:space="preserve">Ca’ Foscari Venezia, Università di Cagliari, Toyo University, Kyoto University </w:t>
      </w:r>
      <w:r w:rsidR="003D3115" w:rsidRPr="00784DD0">
        <w:rPr>
          <w:rFonts w:ascii="Rubik" w:hAnsi="Rubik" w:cs="Rubik"/>
          <w:sz w:val="22"/>
          <w:szCs w:val="22"/>
        </w:rPr>
        <w:t>e</w:t>
      </w:r>
      <w:r w:rsidR="00B479AE" w:rsidRPr="00784DD0">
        <w:rPr>
          <w:rFonts w:ascii="Rubik" w:hAnsi="Rubik" w:cs="Rubik" w:hint="cs"/>
          <w:sz w:val="22"/>
          <w:szCs w:val="22"/>
        </w:rPr>
        <w:t xml:space="preserve"> centri di </w:t>
      </w:r>
      <w:r w:rsidR="00B479AE" w:rsidRPr="00784DD0">
        <w:rPr>
          <w:rFonts w:ascii="Rubik" w:hAnsi="Rubik" w:cs="Rubik"/>
          <w:sz w:val="22"/>
          <w:szCs w:val="22"/>
        </w:rPr>
        <w:t>ricerc</w:t>
      </w:r>
      <w:r w:rsidR="003D3115" w:rsidRPr="00784DD0">
        <w:rPr>
          <w:rFonts w:ascii="Rubik" w:hAnsi="Rubik" w:cs="Rubik"/>
          <w:sz w:val="22"/>
          <w:szCs w:val="22"/>
        </w:rPr>
        <w:t>a,</w:t>
      </w:r>
      <w:r w:rsidR="00B479AE" w:rsidRPr="00784DD0">
        <w:rPr>
          <w:rFonts w:ascii="Rubik" w:hAnsi="Rubik" w:cs="Rubik" w:hint="cs"/>
          <w:sz w:val="22"/>
          <w:szCs w:val="22"/>
        </w:rPr>
        <w:t xml:space="preserve"> tra cui CISET ed Eurispes</w:t>
      </w:r>
      <w:r w:rsidR="00B479AE" w:rsidRPr="00784DD0">
        <w:rPr>
          <w:rFonts w:ascii="Rubik" w:hAnsi="Rubik" w:cs="Rubik"/>
          <w:sz w:val="22"/>
          <w:szCs w:val="22"/>
        </w:rPr>
        <w:t>.</w:t>
      </w:r>
      <w:r w:rsidR="00EB0422" w:rsidRPr="00784DD0">
        <w:rPr>
          <w:rFonts w:ascii="Rubik" w:hAnsi="Rubik" w:cs="Rubik"/>
          <w:sz w:val="22"/>
          <w:szCs w:val="22"/>
        </w:rPr>
        <w:t xml:space="preserve"> </w:t>
      </w:r>
    </w:p>
    <w:p w14:paraId="3512122B" w14:textId="0659B4BC" w:rsidR="004D46E4" w:rsidRPr="00784DD0" w:rsidRDefault="00EB0422" w:rsidP="00C66F36">
      <w:pPr>
        <w:jc w:val="both"/>
        <w:rPr>
          <w:rFonts w:ascii="Rubik" w:hAnsi="Rubik" w:cs="Rubik"/>
          <w:sz w:val="22"/>
          <w:szCs w:val="22"/>
        </w:rPr>
      </w:pPr>
      <w:r w:rsidRPr="00784DD0">
        <w:rPr>
          <w:rFonts w:ascii="Rubik" w:hAnsi="Rubik" w:cs="Rubik"/>
          <w:sz w:val="22"/>
          <w:szCs w:val="22"/>
        </w:rPr>
        <w:t>Una nutrita delegazione quindi, quella di UniBg, che nei prossimi giorni visiterà l'</w:t>
      </w:r>
      <w:r w:rsidRPr="00784DD0">
        <w:rPr>
          <w:rFonts w:ascii="Rubik" w:hAnsi="Rubik" w:cs="Rubik"/>
          <w:b/>
          <w:bCs/>
          <w:sz w:val="22"/>
          <w:szCs w:val="22"/>
        </w:rPr>
        <w:t>Università di Kanazawa</w:t>
      </w:r>
      <w:r w:rsidRPr="00784DD0">
        <w:rPr>
          <w:rFonts w:ascii="Rubik" w:hAnsi="Rubik" w:cs="Rubik"/>
          <w:sz w:val="22"/>
          <w:szCs w:val="22"/>
        </w:rPr>
        <w:t xml:space="preserve"> e l’Università di Tokyo, la </w:t>
      </w:r>
      <w:r w:rsidRPr="00784DD0">
        <w:rPr>
          <w:rFonts w:ascii="Rubik" w:hAnsi="Rubik" w:cs="Rubik"/>
          <w:b/>
          <w:bCs/>
          <w:sz w:val="22"/>
          <w:szCs w:val="22"/>
        </w:rPr>
        <w:t xml:space="preserve">Aoyama </w:t>
      </w:r>
      <w:proofErr w:type="spellStart"/>
      <w:r w:rsidRPr="00784DD0">
        <w:rPr>
          <w:rFonts w:ascii="Rubik" w:hAnsi="Rubik" w:cs="Rubik"/>
          <w:b/>
          <w:bCs/>
          <w:sz w:val="22"/>
          <w:szCs w:val="22"/>
        </w:rPr>
        <w:t>Gakuin</w:t>
      </w:r>
      <w:proofErr w:type="spellEnd"/>
      <w:r w:rsidRPr="00784DD0">
        <w:rPr>
          <w:rFonts w:ascii="Rubik" w:hAnsi="Rubik" w:cs="Rubik"/>
          <w:b/>
          <w:bCs/>
          <w:sz w:val="22"/>
          <w:szCs w:val="22"/>
        </w:rPr>
        <w:t xml:space="preserve"> University</w:t>
      </w:r>
      <w:r w:rsidRPr="00784DD0">
        <w:rPr>
          <w:rFonts w:ascii="Rubik" w:hAnsi="Rubik" w:cs="Rubik"/>
          <w:sz w:val="22"/>
          <w:szCs w:val="22"/>
        </w:rPr>
        <w:t xml:space="preserve">, per </w:t>
      </w:r>
      <w:r w:rsidR="002E307E" w:rsidRPr="00784DD0">
        <w:rPr>
          <w:rFonts w:ascii="Rubik" w:hAnsi="Rubik" w:cs="Rubik"/>
          <w:sz w:val="22"/>
          <w:szCs w:val="22"/>
        </w:rPr>
        <w:t>instaurare</w:t>
      </w:r>
      <w:r w:rsidR="006626D3" w:rsidRPr="00784DD0">
        <w:rPr>
          <w:rFonts w:ascii="Rubik" w:hAnsi="Rubik" w:cs="Rubik"/>
          <w:sz w:val="22"/>
          <w:szCs w:val="22"/>
        </w:rPr>
        <w:t xml:space="preserve"> nuove opportunità di collaborazione</w:t>
      </w:r>
      <w:r w:rsidRPr="00784DD0">
        <w:rPr>
          <w:rFonts w:ascii="Rubik" w:hAnsi="Rubik" w:cs="Rubik"/>
          <w:sz w:val="22"/>
          <w:szCs w:val="22"/>
        </w:rPr>
        <w:t>.</w:t>
      </w:r>
    </w:p>
    <w:p w14:paraId="69C12383" w14:textId="77777777" w:rsidR="00EB0422" w:rsidRPr="00784DD0" w:rsidRDefault="00EB0422" w:rsidP="00C66F36">
      <w:pPr>
        <w:jc w:val="both"/>
        <w:rPr>
          <w:rFonts w:ascii="Rubik" w:hAnsi="Rubik" w:cs="Rubik"/>
          <w:sz w:val="22"/>
          <w:szCs w:val="22"/>
        </w:rPr>
      </w:pPr>
    </w:p>
    <w:p w14:paraId="75AEB353" w14:textId="76C69326" w:rsidR="00C66F36" w:rsidRPr="00784DD0" w:rsidRDefault="005D0472" w:rsidP="00C66F36">
      <w:pPr>
        <w:jc w:val="both"/>
        <w:rPr>
          <w:rFonts w:ascii="Rubik" w:hAnsi="Rubik" w:cs="Rubik"/>
          <w:sz w:val="22"/>
          <w:szCs w:val="22"/>
        </w:rPr>
      </w:pPr>
      <w:r w:rsidRPr="00784DD0">
        <w:rPr>
          <w:rFonts w:ascii="Rubik" w:hAnsi="Rubik" w:cs="Rubik"/>
          <w:sz w:val="22"/>
          <w:szCs w:val="22"/>
        </w:rPr>
        <w:t xml:space="preserve">Un </w:t>
      </w:r>
      <w:r w:rsidR="00C66F36" w:rsidRPr="00784DD0">
        <w:rPr>
          <w:rFonts w:ascii="Rubik" w:hAnsi="Rubik" w:cs="Rubik" w:hint="cs"/>
          <w:sz w:val="22"/>
          <w:szCs w:val="22"/>
        </w:rPr>
        <w:t>confronto multidisciplinare</w:t>
      </w:r>
      <w:r w:rsidRPr="00784DD0">
        <w:rPr>
          <w:rFonts w:ascii="Rubik" w:hAnsi="Rubik" w:cs="Rubik"/>
          <w:sz w:val="22"/>
          <w:szCs w:val="22"/>
        </w:rPr>
        <w:t xml:space="preserve"> </w:t>
      </w:r>
      <w:r w:rsidR="00C66F36" w:rsidRPr="00784DD0">
        <w:rPr>
          <w:rFonts w:ascii="Rubik" w:hAnsi="Rubik" w:cs="Rubik" w:hint="cs"/>
          <w:sz w:val="22"/>
          <w:szCs w:val="22"/>
        </w:rPr>
        <w:t>che ha coinvolto</w:t>
      </w:r>
      <w:r w:rsidR="00C66F36" w:rsidRPr="00784DD0">
        <w:rPr>
          <w:rFonts w:ascii="Rubik" w:hAnsi="Rubik" w:cs="Rubik"/>
          <w:sz w:val="22"/>
          <w:szCs w:val="22"/>
        </w:rPr>
        <w:t xml:space="preserve"> referenti delle istituzioni </w:t>
      </w:r>
      <w:r w:rsidR="003D3115" w:rsidRPr="00784DD0">
        <w:rPr>
          <w:rFonts w:ascii="Rubik" w:hAnsi="Rubik" w:cs="Rubik"/>
          <w:sz w:val="22"/>
          <w:szCs w:val="22"/>
        </w:rPr>
        <w:t>e del sistema territoriale bergamasco</w:t>
      </w:r>
      <w:r w:rsidR="00C66F36" w:rsidRPr="00784DD0">
        <w:rPr>
          <w:rFonts w:ascii="Rubik" w:hAnsi="Rubik" w:cs="Rubik"/>
          <w:sz w:val="22"/>
          <w:szCs w:val="22"/>
        </w:rPr>
        <w:t xml:space="preserve"> come </w:t>
      </w:r>
      <w:r w:rsidR="00C66F36" w:rsidRPr="00784DD0">
        <w:rPr>
          <w:rFonts w:ascii="Rubik" w:hAnsi="Rubik" w:cs="Rubik"/>
          <w:b/>
          <w:bCs/>
          <w:sz w:val="22"/>
          <w:szCs w:val="22"/>
        </w:rPr>
        <w:t>Roberto Amaddeo</w:t>
      </w:r>
      <w:r w:rsidRPr="00784DD0">
        <w:rPr>
          <w:rFonts w:ascii="Rubik" w:hAnsi="Rubik" w:cs="Rubik"/>
          <w:sz w:val="22"/>
          <w:szCs w:val="22"/>
        </w:rPr>
        <w:t xml:space="preserve">, </w:t>
      </w:r>
      <w:r w:rsidR="00C66F36" w:rsidRPr="00784DD0">
        <w:rPr>
          <w:rFonts w:ascii="Rubik" w:hAnsi="Rubik" w:cs="Rubik"/>
          <w:sz w:val="22"/>
          <w:szCs w:val="22"/>
        </w:rPr>
        <w:t>in rappresentanza d</w:t>
      </w:r>
      <w:r w:rsidRPr="00784DD0">
        <w:rPr>
          <w:rFonts w:ascii="Rubik" w:hAnsi="Rubik" w:cs="Rubik"/>
          <w:sz w:val="22"/>
          <w:szCs w:val="22"/>
        </w:rPr>
        <w:t>i</w:t>
      </w:r>
      <w:r w:rsidR="00C66F36" w:rsidRPr="00784DD0">
        <w:rPr>
          <w:rFonts w:ascii="Rubik" w:hAnsi="Rubik" w:cs="Rubik"/>
          <w:sz w:val="22"/>
          <w:szCs w:val="22"/>
        </w:rPr>
        <w:t xml:space="preserve"> Provincia e Comune di Bergamo,</w:t>
      </w:r>
      <w:r w:rsidRPr="00784DD0">
        <w:rPr>
          <w:rFonts w:ascii="Rubik" w:hAnsi="Rubik" w:cs="Rubik"/>
          <w:sz w:val="22"/>
          <w:szCs w:val="22"/>
        </w:rPr>
        <w:t xml:space="preserve"> e</w:t>
      </w:r>
      <w:r w:rsidR="00C66F36" w:rsidRPr="00784DD0">
        <w:rPr>
          <w:rFonts w:ascii="Rubik" w:hAnsi="Rubik" w:cs="Rubik"/>
          <w:sz w:val="22"/>
          <w:szCs w:val="22"/>
        </w:rPr>
        <w:t xml:space="preserve"> </w:t>
      </w:r>
      <w:r w:rsidR="00C66F36" w:rsidRPr="00784DD0">
        <w:rPr>
          <w:rFonts w:ascii="Rubik" w:hAnsi="Rubik" w:cs="Rubik"/>
          <w:b/>
          <w:bCs/>
          <w:sz w:val="22"/>
          <w:szCs w:val="22"/>
        </w:rPr>
        <w:t>Alberto Gottardi</w:t>
      </w:r>
      <w:r w:rsidRPr="00784DD0">
        <w:rPr>
          <w:rFonts w:ascii="Rubik" w:hAnsi="Rubik" w:cs="Rubik"/>
          <w:sz w:val="22"/>
          <w:szCs w:val="22"/>
        </w:rPr>
        <w:t xml:space="preserve">, </w:t>
      </w:r>
      <w:r w:rsidR="00C66F36" w:rsidRPr="00784DD0">
        <w:rPr>
          <w:rFonts w:ascii="Rubik" w:hAnsi="Rubik" w:cs="Rubik"/>
          <w:sz w:val="22"/>
          <w:szCs w:val="22"/>
        </w:rPr>
        <w:t>e</w:t>
      </w:r>
      <w:r w:rsidRPr="00784DD0">
        <w:rPr>
          <w:rFonts w:ascii="Rubik" w:hAnsi="Rubik" w:cs="Rubik"/>
          <w:sz w:val="22"/>
          <w:szCs w:val="22"/>
        </w:rPr>
        <w:t xml:space="preserve"> che ha visto la riproduzione di </w:t>
      </w:r>
      <w:r w:rsidR="00C66F36" w:rsidRPr="00784DD0">
        <w:rPr>
          <w:rFonts w:ascii="Rubik" w:hAnsi="Rubik" w:cs="Rubik"/>
          <w:sz w:val="22"/>
          <w:szCs w:val="22"/>
        </w:rPr>
        <w:t xml:space="preserve">un video realizzato grazie alla preziosa collaborazione di </w:t>
      </w:r>
      <w:r w:rsidR="00C66F36" w:rsidRPr="00784DD0">
        <w:rPr>
          <w:rFonts w:ascii="Rubik" w:hAnsi="Rubik" w:cs="Rubik"/>
          <w:b/>
          <w:bCs/>
          <w:sz w:val="22"/>
          <w:szCs w:val="22"/>
        </w:rPr>
        <w:t>SACBO</w:t>
      </w:r>
      <w:r w:rsidR="00C66F36" w:rsidRPr="00784DD0">
        <w:rPr>
          <w:rFonts w:ascii="Rubik" w:hAnsi="Rubik" w:cs="Rubik"/>
          <w:sz w:val="22"/>
          <w:szCs w:val="22"/>
        </w:rPr>
        <w:t xml:space="preserve"> e </w:t>
      </w:r>
      <w:r w:rsidR="00C66F36" w:rsidRPr="00784DD0">
        <w:rPr>
          <w:rFonts w:ascii="Rubik" w:hAnsi="Rubik" w:cs="Rubik"/>
          <w:b/>
          <w:bCs/>
          <w:sz w:val="22"/>
          <w:szCs w:val="22"/>
        </w:rPr>
        <w:t>VisitBergam</w:t>
      </w:r>
      <w:r w:rsidR="00494AB3" w:rsidRPr="00784DD0">
        <w:rPr>
          <w:rFonts w:ascii="Rubik" w:hAnsi="Rubik" w:cs="Rubik"/>
          <w:b/>
          <w:bCs/>
          <w:sz w:val="22"/>
          <w:szCs w:val="22"/>
        </w:rPr>
        <w:t>o</w:t>
      </w:r>
      <w:r w:rsidR="00C66F36" w:rsidRPr="00784DD0">
        <w:rPr>
          <w:rFonts w:ascii="Rubik" w:hAnsi="Rubik" w:cs="Rubik" w:hint="cs"/>
          <w:sz w:val="22"/>
          <w:szCs w:val="22"/>
        </w:rPr>
        <w:t>. Presenti, inoltre, enti di promozione come Toscana Promozione Turistica, Puglia Promozione, l’Associazione Nazionale Città del Vino e realtà associative attive nella responsabilità sociale, tra cui l’Associazione Italiana Turismo Responsabile e Slow Food Japan.</w:t>
      </w:r>
    </w:p>
    <w:p w14:paraId="57652458" w14:textId="77777777" w:rsidR="005D0472" w:rsidRPr="00494AB3" w:rsidRDefault="005D0472" w:rsidP="00C66F36">
      <w:pPr>
        <w:jc w:val="both"/>
        <w:rPr>
          <w:rFonts w:ascii="Rubik" w:hAnsi="Rubik" w:cs="Rubik"/>
          <w:sz w:val="22"/>
          <w:szCs w:val="22"/>
        </w:rPr>
      </w:pPr>
    </w:p>
    <w:p w14:paraId="247DEFEF" w14:textId="32E969B5" w:rsidR="00C66F36" w:rsidRPr="00494AB3" w:rsidRDefault="00C66F36" w:rsidP="00C66F36">
      <w:pPr>
        <w:jc w:val="both"/>
        <w:rPr>
          <w:rFonts w:ascii="Rubik" w:hAnsi="Rubik" w:cs="Rubik"/>
          <w:sz w:val="22"/>
          <w:szCs w:val="22"/>
        </w:rPr>
      </w:pPr>
      <w:r w:rsidRPr="00494AB3">
        <w:rPr>
          <w:rFonts w:ascii="Rubik" w:hAnsi="Rubik" w:cs="Rubik" w:hint="cs"/>
          <w:noProof/>
          <w:sz w:val="22"/>
          <w:szCs w:val="22"/>
        </w:rPr>
        <mc:AlternateContent>
          <mc:Choice Requires="wpi">
            <w:drawing>
              <wp:anchor distT="0" distB="0" distL="114300" distR="114300" simplePos="0" relativeHeight="251661312" behindDoc="0" locked="0" layoutInCell="1" allowOverlap="1" wp14:anchorId="464E1A5C" wp14:editId="3D561629">
                <wp:simplePos x="0" y="0"/>
                <wp:positionH relativeFrom="column">
                  <wp:posOffset>11300640</wp:posOffset>
                </wp:positionH>
                <wp:positionV relativeFrom="paragraph">
                  <wp:posOffset>211327</wp:posOffset>
                </wp:positionV>
                <wp:extent cx="360" cy="360"/>
                <wp:effectExtent l="38100" t="38100" r="19050" b="19050"/>
                <wp:wrapNone/>
                <wp:docPr id="484910126" name="Input penna 3"/>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09B257D6" id="Input penna 3" o:spid="_x0000_s1026" type="#_x0000_t75" style="position:absolute;margin-left:889.3pt;margin-top:16.1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">
                <v:imagedata r:id="rId14" o:title=""/>
                <o:lock v:ext="edit" rotation="t" aspectratio="f"/>
              </v:shape>
            </w:pict>
          </mc:Fallback>
        </mc:AlternateContent>
      </w:r>
      <w:r w:rsidRPr="00494AB3">
        <w:rPr>
          <w:rFonts w:ascii="Rubik" w:hAnsi="Rubik" w:cs="Rubik" w:hint="cs"/>
          <w:sz w:val="22"/>
          <w:szCs w:val="22"/>
        </w:rPr>
        <w:t xml:space="preserve">La conferenza ha perseguito una pluralità di obiettivi. Ha innanzitutto analizzato in chiave comparativa i dati sui </w:t>
      </w:r>
      <w:r w:rsidRPr="00494AB3">
        <w:rPr>
          <w:rFonts w:ascii="Rubik" w:hAnsi="Rubik" w:cs="Rubik" w:hint="cs"/>
          <w:b/>
          <w:bCs/>
          <w:sz w:val="22"/>
          <w:szCs w:val="22"/>
        </w:rPr>
        <w:t>flussi turistici in Italia e Giappone</w:t>
      </w:r>
      <w:r w:rsidRPr="00494AB3">
        <w:rPr>
          <w:rFonts w:ascii="Rubik" w:hAnsi="Rubik" w:cs="Rubik" w:hint="cs"/>
          <w:sz w:val="22"/>
          <w:szCs w:val="22"/>
        </w:rPr>
        <w:t xml:space="preserve">, discusso i </w:t>
      </w:r>
      <w:r w:rsidRPr="00494AB3">
        <w:rPr>
          <w:rFonts w:ascii="Rubik" w:hAnsi="Rubik" w:cs="Rubik" w:hint="cs"/>
          <w:b/>
          <w:bCs/>
          <w:sz w:val="22"/>
          <w:szCs w:val="22"/>
        </w:rPr>
        <w:t>quadri normativi</w:t>
      </w:r>
      <w:r w:rsidRPr="00494AB3">
        <w:rPr>
          <w:rFonts w:ascii="Rubik" w:hAnsi="Rubik" w:cs="Rubik" w:hint="cs"/>
          <w:sz w:val="22"/>
          <w:szCs w:val="22"/>
        </w:rPr>
        <w:t xml:space="preserve"> e le </w:t>
      </w:r>
      <w:r w:rsidRPr="00494AB3">
        <w:rPr>
          <w:rFonts w:ascii="Rubik" w:hAnsi="Rubik" w:cs="Rubik" w:hint="cs"/>
          <w:b/>
          <w:bCs/>
          <w:sz w:val="22"/>
          <w:szCs w:val="22"/>
        </w:rPr>
        <w:t>opportunità di nuove regolamentazioni</w:t>
      </w:r>
      <w:r w:rsidRPr="00494AB3">
        <w:rPr>
          <w:rFonts w:ascii="Rubik" w:hAnsi="Rubik" w:cs="Rubik" w:hint="cs"/>
          <w:sz w:val="22"/>
          <w:szCs w:val="22"/>
        </w:rPr>
        <w:t xml:space="preserve"> per gestire in modo sostenibile gli incrementi attesi di visitatori per i prossimi anni. Altro tema centrale è stato il </w:t>
      </w:r>
      <w:r w:rsidRPr="00494AB3">
        <w:rPr>
          <w:rFonts w:ascii="Rubik" w:hAnsi="Rubik" w:cs="Rubik" w:hint="cs"/>
          <w:b/>
          <w:bCs/>
          <w:sz w:val="22"/>
          <w:szCs w:val="22"/>
        </w:rPr>
        <w:t>riconoscimento del turismo rurale ed enogastronomico come leva per riequilibrare i flussi</w:t>
      </w:r>
      <w:r w:rsidRPr="00494AB3">
        <w:rPr>
          <w:rFonts w:ascii="Rubik" w:hAnsi="Rubik" w:cs="Rubik" w:hint="cs"/>
          <w:sz w:val="22"/>
          <w:szCs w:val="22"/>
        </w:rPr>
        <w:t xml:space="preserve">, sostenere la vitalità economica e culturale delle aree interne e stimolare la rigenerazione dei territori. La conferenza ha infine favorito lo </w:t>
      </w:r>
      <w:r w:rsidRPr="00494AB3">
        <w:rPr>
          <w:rFonts w:ascii="Rubik" w:hAnsi="Rubik" w:cs="Rubik" w:hint="cs"/>
          <w:b/>
          <w:bCs/>
          <w:sz w:val="22"/>
          <w:szCs w:val="22"/>
        </w:rPr>
        <w:t>scambio tra mondo accademico e operatori professionali</w:t>
      </w:r>
      <w:r w:rsidRPr="00494AB3">
        <w:rPr>
          <w:rFonts w:ascii="Rubik" w:hAnsi="Rubik" w:cs="Rubik" w:hint="cs"/>
          <w:sz w:val="22"/>
          <w:szCs w:val="22"/>
        </w:rPr>
        <w:t>, condividendo esperienze e casi studio per creare un patrimonio comune di buone pratiche.</w:t>
      </w:r>
    </w:p>
    <w:p w14:paraId="6713190A" w14:textId="77777777" w:rsidR="005D0472" w:rsidRPr="00494AB3" w:rsidRDefault="005D0472" w:rsidP="00C66F36">
      <w:pPr>
        <w:jc w:val="both"/>
        <w:rPr>
          <w:rFonts w:ascii="Rubik" w:hAnsi="Rubik" w:cs="Rubik"/>
          <w:sz w:val="22"/>
          <w:szCs w:val="22"/>
        </w:rPr>
      </w:pPr>
    </w:p>
    <w:p w14:paraId="0E6A738D" w14:textId="3D891C26" w:rsidR="00C66F36" w:rsidRPr="00494AB3" w:rsidRDefault="005D0472" w:rsidP="00C66F36">
      <w:pPr>
        <w:jc w:val="both"/>
        <w:outlineLvl w:val="2"/>
        <w:rPr>
          <w:rFonts w:ascii="Rubik" w:hAnsi="Rubik" w:cs="Rubik"/>
          <w:b/>
          <w:bCs/>
          <w:sz w:val="22"/>
          <w:szCs w:val="22"/>
        </w:rPr>
      </w:pPr>
      <w:r w:rsidRPr="00494AB3">
        <w:rPr>
          <w:rFonts w:ascii="Rubik" w:hAnsi="Rubik" w:cs="Rubik"/>
          <w:b/>
          <w:bCs/>
          <w:sz w:val="22"/>
          <w:szCs w:val="22"/>
        </w:rPr>
        <w:t>GOVERNANCE E STRUMENTI INNOVATIVI PER IL CONTRASTO DELL’OVERTOURISM</w:t>
      </w:r>
    </w:p>
    <w:p w14:paraId="0E4DDF5F" w14:textId="50323C3E" w:rsidR="00C43638" w:rsidRPr="00C43638" w:rsidRDefault="00C43638" w:rsidP="00C43638">
      <w:pPr>
        <w:jc w:val="both"/>
        <w:rPr>
          <w:rFonts w:ascii="Rubik" w:hAnsi="Rubik" w:cs="Rubik"/>
          <w:sz w:val="22"/>
          <w:szCs w:val="22"/>
        </w:rPr>
      </w:pPr>
      <w:r w:rsidRPr="00C43638">
        <w:rPr>
          <w:rFonts w:ascii="Rubik" w:hAnsi="Rubik" w:cs="Rubik"/>
          <w:sz w:val="22"/>
          <w:szCs w:val="22"/>
        </w:rPr>
        <w:t>La prima sessione, dedicata all’analisi delle dinamiche turistiche contemporanee, ha posto l’accento sulla necessità di superare una logica emergenziale nella gestione dei flussi, per abbracciare u</w:t>
      </w:r>
      <w:r w:rsidRPr="00C43638">
        <w:rPr>
          <w:rFonts w:ascii="Rubik" w:hAnsi="Rubik" w:cs="Rubik"/>
          <w:b/>
          <w:bCs/>
          <w:sz w:val="22"/>
          <w:szCs w:val="22"/>
        </w:rPr>
        <w:t xml:space="preserve">n approccio di </w:t>
      </w:r>
      <w:proofErr w:type="spellStart"/>
      <w:r w:rsidRPr="00C43638">
        <w:rPr>
          <w:rFonts w:ascii="Rubik" w:hAnsi="Rubik" w:cs="Rubik"/>
          <w:b/>
          <w:bCs/>
          <w:i/>
          <w:iCs/>
          <w:sz w:val="22"/>
          <w:szCs w:val="22"/>
        </w:rPr>
        <w:t>placemaking</w:t>
      </w:r>
      <w:proofErr w:type="spellEnd"/>
      <w:r w:rsidRPr="00C43638">
        <w:rPr>
          <w:rFonts w:ascii="Rubik" w:hAnsi="Rubik" w:cs="Rubik"/>
          <w:b/>
          <w:bCs/>
          <w:sz w:val="22"/>
          <w:szCs w:val="22"/>
        </w:rPr>
        <w:t xml:space="preserve"> capace di rendere le destinazioni più vivibili tanto per i visitatori quanto per i residenti</w:t>
      </w:r>
      <w:r w:rsidRPr="00C43638">
        <w:rPr>
          <w:rFonts w:ascii="Rubik" w:hAnsi="Rubik" w:cs="Rubik"/>
          <w:sz w:val="22"/>
          <w:szCs w:val="22"/>
        </w:rPr>
        <w:t xml:space="preserve">. È emersa l’importanza di </w:t>
      </w:r>
      <w:r>
        <w:rPr>
          <w:rFonts w:ascii="Rubik" w:hAnsi="Rubik" w:cs="Rubik"/>
          <w:sz w:val="22"/>
          <w:szCs w:val="22"/>
        </w:rPr>
        <w:t>modificare il ruolo de</w:t>
      </w:r>
      <w:r w:rsidRPr="00C43638">
        <w:rPr>
          <w:rFonts w:ascii="Rubik" w:hAnsi="Rubik" w:cs="Rubik"/>
          <w:sz w:val="22"/>
          <w:szCs w:val="22"/>
        </w:rPr>
        <w:t xml:space="preserve">gli enti di gestione delle destinazioni, valorizzando la loro conoscenza del contesto locale </w:t>
      </w:r>
      <w:r w:rsidRPr="00C43638">
        <w:rPr>
          <w:rFonts w:ascii="Rubik" w:hAnsi="Rubik" w:cs="Rubik"/>
          <w:sz w:val="22"/>
          <w:szCs w:val="22"/>
        </w:rPr>
        <w:lastRenderedPageBreak/>
        <w:t>e la capacità di intervenire in modo mirato, integrato e continuativo</w:t>
      </w:r>
      <w:r>
        <w:rPr>
          <w:rFonts w:ascii="Rubik" w:hAnsi="Rubik" w:cs="Rubik"/>
          <w:sz w:val="22"/>
          <w:szCs w:val="22"/>
        </w:rPr>
        <w:t xml:space="preserve"> per affrontare strategicamente la crescita attesa dei flussi</w:t>
      </w:r>
      <w:r w:rsidRPr="00C43638">
        <w:rPr>
          <w:rFonts w:ascii="Rubik" w:hAnsi="Rubik" w:cs="Rubik"/>
          <w:sz w:val="22"/>
          <w:szCs w:val="22"/>
        </w:rPr>
        <w:t>.</w:t>
      </w:r>
    </w:p>
    <w:p w14:paraId="0F814B76" w14:textId="0EC4D77B" w:rsidR="00C43638" w:rsidRPr="00C43638" w:rsidRDefault="00C43638" w:rsidP="00C43638">
      <w:pPr>
        <w:jc w:val="both"/>
        <w:rPr>
          <w:rFonts w:ascii="Rubik" w:hAnsi="Rubik" w:cs="Rubik"/>
          <w:sz w:val="22"/>
          <w:szCs w:val="22"/>
        </w:rPr>
      </w:pPr>
      <w:r>
        <w:rPr>
          <w:rFonts w:ascii="Rubik" w:hAnsi="Rubik" w:cs="Rubik"/>
          <w:sz w:val="22"/>
          <w:szCs w:val="22"/>
        </w:rPr>
        <w:t xml:space="preserve">Punto di partenza </w:t>
      </w:r>
      <w:r w:rsidRPr="00C43638">
        <w:rPr>
          <w:rFonts w:ascii="Rubik" w:hAnsi="Rubik" w:cs="Rubik"/>
          <w:sz w:val="22"/>
          <w:szCs w:val="22"/>
        </w:rPr>
        <w:t xml:space="preserve">la misurazione: è fondamentale disporre di </w:t>
      </w:r>
      <w:r>
        <w:rPr>
          <w:rFonts w:ascii="Rubik" w:hAnsi="Rubik" w:cs="Rubik"/>
          <w:sz w:val="22"/>
          <w:szCs w:val="22"/>
        </w:rPr>
        <w:t xml:space="preserve">dati sul turista e sull’escursionista e sui territori, perché </w:t>
      </w:r>
      <w:r w:rsidRPr="00C43638">
        <w:rPr>
          <w:rFonts w:ascii="Rubik" w:hAnsi="Rubik" w:cs="Rubik"/>
          <w:b/>
          <w:bCs/>
          <w:sz w:val="22"/>
          <w:szCs w:val="22"/>
        </w:rPr>
        <w:t xml:space="preserve">attraverso l’intelligenza artificiale si possano </w:t>
      </w:r>
      <w:proofErr w:type="gramStart"/>
      <w:r w:rsidRPr="00C43638">
        <w:rPr>
          <w:rFonts w:ascii="Rubik" w:hAnsi="Rubik" w:cs="Rubik"/>
          <w:b/>
          <w:bCs/>
          <w:sz w:val="22"/>
          <w:szCs w:val="22"/>
        </w:rPr>
        <w:t>offrire  strumenti</w:t>
      </w:r>
      <w:proofErr w:type="gramEnd"/>
      <w:r w:rsidRPr="00C43638">
        <w:rPr>
          <w:rFonts w:ascii="Rubik" w:hAnsi="Rubik" w:cs="Rubik"/>
          <w:b/>
          <w:bCs/>
          <w:sz w:val="22"/>
          <w:szCs w:val="22"/>
        </w:rPr>
        <w:t xml:space="preserve"> e soluzioni, per poi gestire nel mondo migliore aspetti cruciali quali la mobilità, la pressione sui servizi pubblici, la gestione dei rifiuti, la capacità ricettiva, la fiscalità e i flussi stagionali</w:t>
      </w:r>
      <w:r w:rsidRPr="00C43638">
        <w:rPr>
          <w:rFonts w:ascii="Rubik" w:hAnsi="Rubik" w:cs="Rubik"/>
          <w:sz w:val="22"/>
          <w:szCs w:val="22"/>
        </w:rPr>
        <w:t>.</w:t>
      </w:r>
      <w:r>
        <w:rPr>
          <w:rFonts w:ascii="Rubik" w:hAnsi="Rubik" w:cs="Rubik"/>
          <w:sz w:val="22"/>
          <w:szCs w:val="22"/>
        </w:rPr>
        <w:t xml:space="preserve"> </w:t>
      </w:r>
      <w:r w:rsidRPr="00C43638">
        <w:rPr>
          <w:rFonts w:ascii="Rubik" w:hAnsi="Rubik" w:cs="Rubik"/>
          <w:sz w:val="22"/>
          <w:szCs w:val="22"/>
        </w:rPr>
        <w:t xml:space="preserve">Gestire il turismo in chiave sostenibile significa anche stimolare la destagionalizzazione e promuovere mete meno note, in un’ottica di riequilibrio territoriale. </w:t>
      </w:r>
      <w:r w:rsidRPr="00C43638">
        <w:rPr>
          <w:rFonts w:ascii="Rubik" w:hAnsi="Rubik" w:cs="Rubik"/>
          <w:b/>
          <w:bCs/>
          <w:sz w:val="22"/>
          <w:szCs w:val="22"/>
        </w:rPr>
        <w:t>Occorre pensare a destinazioni che non siano solo attrattive per i turisti, ma che garantiscano qualità della vita ai residenti,</w:t>
      </w:r>
      <w:r w:rsidRPr="00C43638">
        <w:rPr>
          <w:rFonts w:ascii="Rubik" w:hAnsi="Rubik" w:cs="Rubik"/>
          <w:sz w:val="22"/>
          <w:szCs w:val="22"/>
        </w:rPr>
        <w:t xml:space="preserve"> prevedendo benefici tangibili per le comunità locali. In questo senso, condividere informazioni, rafforzare la consapevolezza dei benefici generati dal turismo e accompagnare i processi di trasformazione del territorio diventano elementi chiave per costruire una governance realmente partecipativa e resiliente.</w:t>
      </w:r>
    </w:p>
    <w:p w14:paraId="3CB978A1" w14:textId="77777777" w:rsidR="00C43638" w:rsidRPr="00C43638" w:rsidRDefault="00C43638" w:rsidP="00C66F36">
      <w:pPr>
        <w:jc w:val="both"/>
        <w:rPr>
          <w:rFonts w:ascii="Rubik" w:hAnsi="Rubik" w:cs="Rubik"/>
          <w:strike/>
          <w:sz w:val="22"/>
          <w:szCs w:val="22"/>
        </w:rPr>
      </w:pPr>
    </w:p>
    <w:p w14:paraId="1E4E348D" w14:textId="1CFFC756" w:rsidR="00C66F36" w:rsidRPr="00494AB3" w:rsidRDefault="005D0472" w:rsidP="00C66F36">
      <w:pPr>
        <w:jc w:val="both"/>
        <w:outlineLvl w:val="2"/>
        <w:rPr>
          <w:rFonts w:ascii="Rubik" w:hAnsi="Rubik" w:cs="Rubik"/>
          <w:b/>
          <w:bCs/>
          <w:sz w:val="22"/>
          <w:szCs w:val="22"/>
        </w:rPr>
      </w:pPr>
      <w:r w:rsidRPr="00494AB3">
        <w:rPr>
          <w:rFonts w:ascii="Rubik" w:hAnsi="Rubik" w:cs="Rubik"/>
          <w:b/>
          <w:bCs/>
          <w:sz w:val="22"/>
          <w:szCs w:val="22"/>
        </w:rPr>
        <w:t>RIGENERAZIONE ATTRAVERSO IL TURISMO RURALE ED ENOGASTRONOMICO</w:t>
      </w:r>
    </w:p>
    <w:p w14:paraId="4FD9DB04" w14:textId="1BDEBB11" w:rsidR="00C66F36" w:rsidRPr="00494AB3" w:rsidRDefault="00C66F36" w:rsidP="00C66F36">
      <w:pPr>
        <w:jc w:val="both"/>
        <w:rPr>
          <w:rFonts w:ascii="Rubik" w:hAnsi="Rubik" w:cs="Rubik"/>
          <w:sz w:val="22"/>
          <w:szCs w:val="22"/>
        </w:rPr>
      </w:pPr>
      <w:r w:rsidRPr="00494AB3">
        <w:rPr>
          <w:rFonts w:ascii="Rubik" w:hAnsi="Rubik" w:cs="Rubik" w:hint="cs"/>
          <w:sz w:val="22"/>
          <w:szCs w:val="22"/>
        </w:rPr>
        <w:t xml:space="preserve">Il secondo asse di discussione ha messo in luce come il turismo rurale ed enogastronomico possa rappresentare una </w:t>
      </w:r>
      <w:r w:rsidRPr="00494AB3">
        <w:rPr>
          <w:rFonts w:ascii="Rubik" w:hAnsi="Rubik" w:cs="Rubik" w:hint="cs"/>
          <w:b/>
          <w:bCs/>
          <w:sz w:val="22"/>
          <w:szCs w:val="22"/>
        </w:rPr>
        <w:t>risposta concreta al sovraffollamento</w:t>
      </w:r>
      <w:r w:rsidRPr="00494AB3">
        <w:rPr>
          <w:rFonts w:ascii="Rubik" w:hAnsi="Rubik" w:cs="Rubik" w:hint="cs"/>
          <w:sz w:val="22"/>
          <w:szCs w:val="22"/>
        </w:rPr>
        <w:t xml:space="preserve">, alleggerendo la pressione sulle destinazioni più note e distribuendo i benefici economici e culturali in modo più equo. Sono state presentate </w:t>
      </w:r>
      <w:r w:rsidRPr="00494AB3">
        <w:rPr>
          <w:rFonts w:ascii="Rubik" w:hAnsi="Rubik" w:cs="Rubik" w:hint="cs"/>
          <w:i/>
          <w:iCs/>
          <w:sz w:val="22"/>
          <w:szCs w:val="22"/>
        </w:rPr>
        <w:t>best practice</w:t>
      </w:r>
      <w:r w:rsidRPr="00494AB3">
        <w:rPr>
          <w:rFonts w:ascii="Rubik" w:hAnsi="Rubik" w:cs="Rubik" w:hint="cs"/>
          <w:sz w:val="22"/>
          <w:szCs w:val="22"/>
        </w:rPr>
        <w:t xml:space="preserve"> italiane ed esperienze dal Giappone e da altri Paesi, che dimostrano come il cibo, la cultura agricola e la dimensione autentica dell’accoglienza siano in grado di attrarre viaggiatori attenti alla sostenibilità, rafforzare le comunità locali e garantire un equilibrio più stabile dei flussi turistici. Il workshop ha evidenziato come valorizzare il patrimonio agroalimentare e le tradizioni locali possa fungere da catalizzatore per la rivitalizzazione economica e sociale, promuovendo modelli di turismo più lenti e consapevoli.</w:t>
      </w:r>
    </w:p>
    <w:p w14:paraId="257F6597" w14:textId="77777777" w:rsidR="005D0472" w:rsidRPr="00494AB3" w:rsidRDefault="005D0472" w:rsidP="00C66F36">
      <w:pPr>
        <w:jc w:val="both"/>
        <w:rPr>
          <w:rFonts w:ascii="Rubik" w:hAnsi="Rubik" w:cs="Rubik"/>
          <w:sz w:val="22"/>
          <w:szCs w:val="22"/>
        </w:rPr>
      </w:pPr>
    </w:p>
    <w:p w14:paraId="73B418FE" w14:textId="546A7686" w:rsidR="00C66F36" w:rsidRPr="00494AB3" w:rsidRDefault="005D0472" w:rsidP="00C66F36">
      <w:pPr>
        <w:jc w:val="both"/>
        <w:outlineLvl w:val="2"/>
        <w:rPr>
          <w:rFonts w:ascii="Rubik" w:hAnsi="Rubik" w:cs="Rubik"/>
          <w:b/>
          <w:bCs/>
          <w:sz w:val="22"/>
          <w:szCs w:val="22"/>
        </w:rPr>
      </w:pPr>
      <w:r w:rsidRPr="00494AB3">
        <w:rPr>
          <w:rFonts w:ascii="Rubik" w:hAnsi="Rubik" w:cs="Rubik"/>
          <w:b/>
          <w:bCs/>
          <w:sz w:val="22"/>
          <w:szCs w:val="22"/>
        </w:rPr>
        <w:t>VERSO UNA ROADMAP CONDIVISA</w:t>
      </w:r>
    </w:p>
    <w:p w14:paraId="5F2FC1BB" w14:textId="77777777" w:rsidR="00C66F36" w:rsidRPr="00494AB3" w:rsidRDefault="00C66F36" w:rsidP="00C66F36">
      <w:pPr>
        <w:jc w:val="both"/>
        <w:rPr>
          <w:rFonts w:ascii="Rubik" w:hAnsi="Rubik" w:cs="Rubik"/>
          <w:sz w:val="22"/>
          <w:szCs w:val="22"/>
        </w:rPr>
      </w:pPr>
      <w:r w:rsidRPr="00494AB3">
        <w:rPr>
          <w:rFonts w:ascii="Rubik" w:hAnsi="Rubik" w:cs="Rubik" w:hint="cs"/>
          <w:sz w:val="22"/>
          <w:szCs w:val="22"/>
        </w:rPr>
        <w:t>La conferenza di Expo Osaka ha gettato le basi per una roadmap condivisa tra Italia e Giappone, orientata a politiche turistiche più equilibrate, rispettose delle comunità e capaci di valorizzare il patrimonio diffuso.</w:t>
      </w:r>
    </w:p>
    <w:p w14:paraId="0F549BAD" w14:textId="77777777" w:rsidR="005D0472" w:rsidRPr="00494AB3" w:rsidRDefault="005D0472" w:rsidP="00C66F36">
      <w:pPr>
        <w:jc w:val="both"/>
        <w:rPr>
          <w:rFonts w:ascii="Rubik" w:hAnsi="Rubik" w:cs="Rubik"/>
          <w:sz w:val="22"/>
          <w:szCs w:val="22"/>
        </w:rPr>
      </w:pPr>
    </w:p>
    <w:p w14:paraId="46280DB5" w14:textId="77777777" w:rsidR="00C66F36" w:rsidRPr="00494AB3" w:rsidRDefault="00C66F36" w:rsidP="00C66F36">
      <w:pPr>
        <w:jc w:val="both"/>
        <w:rPr>
          <w:rFonts w:ascii="Rubik" w:hAnsi="Rubik" w:cs="Rubik"/>
          <w:b/>
          <w:bCs/>
          <w:color w:val="0E0E0E"/>
          <w:sz w:val="22"/>
          <w:szCs w:val="22"/>
        </w:rPr>
      </w:pPr>
      <w:r w:rsidRPr="00494AB3">
        <w:rPr>
          <w:rFonts w:ascii="Rubik" w:hAnsi="Rubik" w:cs="Rubik" w:hint="cs"/>
          <w:b/>
          <w:bCs/>
          <w:i/>
          <w:iCs/>
          <w:color w:val="0E0E0E"/>
          <w:sz w:val="22"/>
          <w:szCs w:val="22"/>
        </w:rPr>
        <w:t>«L’overtourism non può essere lasciato a una gestione spontanea: serve una strategia integrata che coinvolga la comunità locale e punti su modelli turistici autentici e sostenibili. La forza del turismo rurale rappresenta una leva concreta per redistribuire i flussi e rigenerare i territori»,</w:t>
      </w:r>
      <w:r w:rsidRPr="00494AB3">
        <w:rPr>
          <w:rFonts w:ascii="Rubik" w:hAnsi="Rubik" w:cs="Rubik" w:hint="cs"/>
          <w:b/>
          <w:bCs/>
          <w:color w:val="0E0E0E"/>
          <w:sz w:val="22"/>
          <w:szCs w:val="22"/>
        </w:rPr>
        <w:t xml:space="preserve"> ha dichiarato Roberta Garibaldi, docente dell’Università di Bergamo ed esperta di turismo enogastronomico, promotrice della conferenza.</w:t>
      </w:r>
    </w:p>
    <w:p w14:paraId="7B06E3D7" w14:textId="77777777" w:rsidR="00494AB3" w:rsidRPr="00494AB3" w:rsidRDefault="00494AB3" w:rsidP="00C66F36">
      <w:pPr>
        <w:jc w:val="both"/>
        <w:rPr>
          <w:rFonts w:ascii="Rubik" w:hAnsi="Rubik" w:cs="Rubik"/>
          <w:b/>
          <w:bCs/>
          <w:color w:val="0E0E0E"/>
          <w:sz w:val="22"/>
          <w:szCs w:val="22"/>
        </w:rPr>
      </w:pPr>
    </w:p>
    <w:p w14:paraId="28E909A2" w14:textId="177919C8" w:rsidR="00C66F36" w:rsidRPr="00494AB3" w:rsidRDefault="00C66F36" w:rsidP="00C66F36">
      <w:pPr>
        <w:jc w:val="both"/>
        <w:rPr>
          <w:rFonts w:ascii="Rubik" w:hAnsi="Rubik" w:cs="Rubik"/>
          <w:sz w:val="22"/>
          <w:szCs w:val="22"/>
        </w:rPr>
      </w:pPr>
      <w:r w:rsidRPr="00494AB3">
        <w:rPr>
          <w:rFonts w:ascii="Rubik" w:hAnsi="Rubik" w:cs="Rubik" w:hint="cs"/>
          <w:sz w:val="22"/>
          <w:szCs w:val="22"/>
        </w:rPr>
        <w:t>L’auspicio condiviso è consolidare una collaborazione stabile tra Italia e Giappone, per condividere dati, competenze e progetti in grado di affrontare in modo coordinato le sfide del turismo contemporaneo e costruire un futuro più inclusivo e sostenibile.</w:t>
      </w:r>
    </w:p>
    <w:sectPr w:rsidR="00C66F36" w:rsidRPr="00494AB3">
      <w:headerReference w:type="even" r:id="rId15"/>
      <w:headerReference w:type="default" r:id="rId16"/>
      <w:footerReference w:type="default" r:id="rId17"/>
      <w:headerReference w:type="first" r:id="rId18"/>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238C" w14:textId="77777777" w:rsidR="006C30EA" w:rsidRDefault="006C30EA">
      <w:r>
        <w:separator/>
      </w:r>
    </w:p>
  </w:endnote>
  <w:endnote w:type="continuationSeparator" w:id="0">
    <w:p w14:paraId="42A8D60C" w14:textId="77777777" w:rsidR="006C30EA" w:rsidRDefault="006C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Rubik">
    <w:panose1 w:val="00000500000000000000"/>
    <w:charset w:val="B1"/>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CA62" w14:textId="77777777" w:rsidR="006C30EA" w:rsidRDefault="006C30EA">
      <w:r>
        <w:separator/>
      </w:r>
    </w:p>
  </w:footnote>
  <w:footnote w:type="continuationSeparator" w:id="0">
    <w:p w14:paraId="7E7B7DEB" w14:textId="77777777" w:rsidR="006C30EA" w:rsidRDefault="006C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C30EA">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CDA2" w14:textId="77777777" w:rsidR="007C29C7" w:rsidRDefault="006C30EA">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C30EA">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5169D"/>
    <w:multiLevelType w:val="hybridMultilevel"/>
    <w:tmpl w:val="8CF87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19170">
    <w:abstractNumId w:val="4"/>
  </w:num>
  <w:num w:numId="2" w16cid:durableId="904490994">
    <w:abstractNumId w:val="2"/>
  </w:num>
  <w:num w:numId="3" w16cid:durableId="1247036726">
    <w:abstractNumId w:val="5"/>
  </w:num>
  <w:num w:numId="4" w16cid:durableId="239221426">
    <w:abstractNumId w:val="0"/>
  </w:num>
  <w:num w:numId="5" w16cid:durableId="1221133381">
    <w:abstractNumId w:val="8"/>
  </w:num>
  <w:num w:numId="6" w16cid:durableId="125202420">
    <w:abstractNumId w:val="6"/>
  </w:num>
  <w:num w:numId="7" w16cid:durableId="2112359319">
    <w:abstractNumId w:val="7"/>
  </w:num>
  <w:num w:numId="8" w16cid:durableId="2018190774">
    <w:abstractNumId w:val="1"/>
  </w:num>
  <w:num w:numId="9" w16cid:durableId="468090076">
    <w:abstractNumId w:val="10"/>
  </w:num>
  <w:num w:numId="10" w16cid:durableId="1149328173">
    <w:abstractNumId w:val="11"/>
  </w:num>
  <w:num w:numId="11" w16cid:durableId="1627809182">
    <w:abstractNumId w:val="9"/>
  </w:num>
  <w:num w:numId="12" w16cid:durableId="1067413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12D2"/>
    <w:rsid w:val="000341FB"/>
    <w:rsid w:val="0003480E"/>
    <w:rsid w:val="000434F5"/>
    <w:rsid w:val="000531A5"/>
    <w:rsid w:val="0008087D"/>
    <w:rsid w:val="00081453"/>
    <w:rsid w:val="00094222"/>
    <w:rsid w:val="000A4744"/>
    <w:rsid w:val="000A5632"/>
    <w:rsid w:val="000D49C3"/>
    <w:rsid w:val="000D6C04"/>
    <w:rsid w:val="000E2CD5"/>
    <w:rsid w:val="000E494B"/>
    <w:rsid w:val="000F3254"/>
    <w:rsid w:val="00103B96"/>
    <w:rsid w:val="00130B07"/>
    <w:rsid w:val="00134AD4"/>
    <w:rsid w:val="00135484"/>
    <w:rsid w:val="0014185C"/>
    <w:rsid w:val="00155293"/>
    <w:rsid w:val="00155E7B"/>
    <w:rsid w:val="001611B8"/>
    <w:rsid w:val="00181616"/>
    <w:rsid w:val="00186E51"/>
    <w:rsid w:val="001970FA"/>
    <w:rsid w:val="001C3D94"/>
    <w:rsid w:val="001D7C77"/>
    <w:rsid w:val="001E0CC7"/>
    <w:rsid w:val="002065D9"/>
    <w:rsid w:val="00211ACA"/>
    <w:rsid w:val="002209B8"/>
    <w:rsid w:val="002266D1"/>
    <w:rsid w:val="002316C3"/>
    <w:rsid w:val="00233A02"/>
    <w:rsid w:val="00242D62"/>
    <w:rsid w:val="0024426B"/>
    <w:rsid w:val="00252532"/>
    <w:rsid w:val="002640B0"/>
    <w:rsid w:val="00271BE8"/>
    <w:rsid w:val="00276C55"/>
    <w:rsid w:val="0028450F"/>
    <w:rsid w:val="00284CA6"/>
    <w:rsid w:val="00286C81"/>
    <w:rsid w:val="002A5D99"/>
    <w:rsid w:val="002A7937"/>
    <w:rsid w:val="002B0BA5"/>
    <w:rsid w:val="002C0A2E"/>
    <w:rsid w:val="002C42DF"/>
    <w:rsid w:val="002D5CD3"/>
    <w:rsid w:val="002E25F5"/>
    <w:rsid w:val="002E307E"/>
    <w:rsid w:val="002E3E77"/>
    <w:rsid w:val="002E4361"/>
    <w:rsid w:val="002E4DA9"/>
    <w:rsid w:val="002F089C"/>
    <w:rsid w:val="002F61CE"/>
    <w:rsid w:val="00307194"/>
    <w:rsid w:val="00307AB6"/>
    <w:rsid w:val="003129AA"/>
    <w:rsid w:val="003245FA"/>
    <w:rsid w:val="003605F2"/>
    <w:rsid w:val="0037123A"/>
    <w:rsid w:val="00381D48"/>
    <w:rsid w:val="00393E25"/>
    <w:rsid w:val="003B3EB0"/>
    <w:rsid w:val="003B7D43"/>
    <w:rsid w:val="003C0E88"/>
    <w:rsid w:val="003D3115"/>
    <w:rsid w:val="003F4ED6"/>
    <w:rsid w:val="00404C79"/>
    <w:rsid w:val="00426586"/>
    <w:rsid w:val="00431713"/>
    <w:rsid w:val="00432B8D"/>
    <w:rsid w:val="00447474"/>
    <w:rsid w:val="00466272"/>
    <w:rsid w:val="00476D93"/>
    <w:rsid w:val="00485F68"/>
    <w:rsid w:val="00490C7B"/>
    <w:rsid w:val="00491F41"/>
    <w:rsid w:val="00494AB3"/>
    <w:rsid w:val="0049682F"/>
    <w:rsid w:val="004A5C2E"/>
    <w:rsid w:val="004C0ACD"/>
    <w:rsid w:val="004C10B9"/>
    <w:rsid w:val="004C3806"/>
    <w:rsid w:val="004D04CA"/>
    <w:rsid w:val="004D071E"/>
    <w:rsid w:val="004D4141"/>
    <w:rsid w:val="004D46E4"/>
    <w:rsid w:val="004E7E4D"/>
    <w:rsid w:val="004F1235"/>
    <w:rsid w:val="004F3A8D"/>
    <w:rsid w:val="00540C71"/>
    <w:rsid w:val="00560780"/>
    <w:rsid w:val="00585DEC"/>
    <w:rsid w:val="0058734C"/>
    <w:rsid w:val="00595C0C"/>
    <w:rsid w:val="005B42D2"/>
    <w:rsid w:val="005D0472"/>
    <w:rsid w:val="00600112"/>
    <w:rsid w:val="00602A69"/>
    <w:rsid w:val="00617ED3"/>
    <w:rsid w:val="006626D3"/>
    <w:rsid w:val="00662AE0"/>
    <w:rsid w:val="006659D4"/>
    <w:rsid w:val="006B46F3"/>
    <w:rsid w:val="006C30EA"/>
    <w:rsid w:val="006C372E"/>
    <w:rsid w:val="006C58F4"/>
    <w:rsid w:val="006D634E"/>
    <w:rsid w:val="006F4D9F"/>
    <w:rsid w:val="007135A3"/>
    <w:rsid w:val="0071586C"/>
    <w:rsid w:val="00737D94"/>
    <w:rsid w:val="0074584D"/>
    <w:rsid w:val="00752A6F"/>
    <w:rsid w:val="00753D64"/>
    <w:rsid w:val="00776A83"/>
    <w:rsid w:val="0077712B"/>
    <w:rsid w:val="00784DD0"/>
    <w:rsid w:val="00787CF9"/>
    <w:rsid w:val="00794740"/>
    <w:rsid w:val="007A1F51"/>
    <w:rsid w:val="007A2F48"/>
    <w:rsid w:val="007A66F7"/>
    <w:rsid w:val="007B7C99"/>
    <w:rsid w:val="007C19B3"/>
    <w:rsid w:val="007C29C7"/>
    <w:rsid w:val="007D7828"/>
    <w:rsid w:val="007F2F89"/>
    <w:rsid w:val="007F5525"/>
    <w:rsid w:val="007F7300"/>
    <w:rsid w:val="00804E31"/>
    <w:rsid w:val="00810F21"/>
    <w:rsid w:val="008231F1"/>
    <w:rsid w:val="008260F0"/>
    <w:rsid w:val="00830E08"/>
    <w:rsid w:val="00833F4A"/>
    <w:rsid w:val="008527F5"/>
    <w:rsid w:val="008540E7"/>
    <w:rsid w:val="00855100"/>
    <w:rsid w:val="00857C7B"/>
    <w:rsid w:val="00873255"/>
    <w:rsid w:val="008733CD"/>
    <w:rsid w:val="008811CE"/>
    <w:rsid w:val="008964D8"/>
    <w:rsid w:val="008C2DE6"/>
    <w:rsid w:val="008C56BF"/>
    <w:rsid w:val="008F4EC1"/>
    <w:rsid w:val="009121CF"/>
    <w:rsid w:val="00934173"/>
    <w:rsid w:val="00943013"/>
    <w:rsid w:val="0094481F"/>
    <w:rsid w:val="009841B4"/>
    <w:rsid w:val="009C05FA"/>
    <w:rsid w:val="009C2DF4"/>
    <w:rsid w:val="009D536F"/>
    <w:rsid w:val="009F5BC3"/>
    <w:rsid w:val="009F688D"/>
    <w:rsid w:val="00A03DF9"/>
    <w:rsid w:val="00A050B0"/>
    <w:rsid w:val="00A13DAD"/>
    <w:rsid w:val="00A15112"/>
    <w:rsid w:val="00A178D3"/>
    <w:rsid w:val="00A2032E"/>
    <w:rsid w:val="00A3065C"/>
    <w:rsid w:val="00A35E82"/>
    <w:rsid w:val="00A40488"/>
    <w:rsid w:val="00A53599"/>
    <w:rsid w:val="00A56A2A"/>
    <w:rsid w:val="00A8270C"/>
    <w:rsid w:val="00A85EBE"/>
    <w:rsid w:val="00A95869"/>
    <w:rsid w:val="00AA1DBF"/>
    <w:rsid w:val="00AC4C16"/>
    <w:rsid w:val="00AC4C9E"/>
    <w:rsid w:val="00AD378E"/>
    <w:rsid w:val="00AE1E9E"/>
    <w:rsid w:val="00B06AEB"/>
    <w:rsid w:val="00B108E8"/>
    <w:rsid w:val="00B12DE2"/>
    <w:rsid w:val="00B22A79"/>
    <w:rsid w:val="00B303AF"/>
    <w:rsid w:val="00B309A3"/>
    <w:rsid w:val="00B41453"/>
    <w:rsid w:val="00B479AE"/>
    <w:rsid w:val="00B95F76"/>
    <w:rsid w:val="00BA1960"/>
    <w:rsid w:val="00BA5D2F"/>
    <w:rsid w:val="00BB47C8"/>
    <w:rsid w:val="00BB69C5"/>
    <w:rsid w:val="00BC3E65"/>
    <w:rsid w:val="00BC42D5"/>
    <w:rsid w:val="00C02775"/>
    <w:rsid w:val="00C06156"/>
    <w:rsid w:val="00C22B33"/>
    <w:rsid w:val="00C40965"/>
    <w:rsid w:val="00C43638"/>
    <w:rsid w:val="00C4527B"/>
    <w:rsid w:val="00C50F53"/>
    <w:rsid w:val="00C62184"/>
    <w:rsid w:val="00C66F36"/>
    <w:rsid w:val="00C67C30"/>
    <w:rsid w:val="00C70C56"/>
    <w:rsid w:val="00C740AF"/>
    <w:rsid w:val="00C84AED"/>
    <w:rsid w:val="00CC6B14"/>
    <w:rsid w:val="00CE25AD"/>
    <w:rsid w:val="00D126B7"/>
    <w:rsid w:val="00D249F2"/>
    <w:rsid w:val="00D34401"/>
    <w:rsid w:val="00D46A9B"/>
    <w:rsid w:val="00D54DA0"/>
    <w:rsid w:val="00DA2017"/>
    <w:rsid w:val="00DC19EC"/>
    <w:rsid w:val="00DD1CA5"/>
    <w:rsid w:val="00DE0761"/>
    <w:rsid w:val="00DF2CF0"/>
    <w:rsid w:val="00E06571"/>
    <w:rsid w:val="00E138A5"/>
    <w:rsid w:val="00E237AF"/>
    <w:rsid w:val="00E27291"/>
    <w:rsid w:val="00E31F8B"/>
    <w:rsid w:val="00E5353E"/>
    <w:rsid w:val="00E641E9"/>
    <w:rsid w:val="00E74086"/>
    <w:rsid w:val="00EB0422"/>
    <w:rsid w:val="00EB2782"/>
    <w:rsid w:val="00EC5EF0"/>
    <w:rsid w:val="00EE4E58"/>
    <w:rsid w:val="00EF5078"/>
    <w:rsid w:val="00F00B35"/>
    <w:rsid w:val="00F050DF"/>
    <w:rsid w:val="00F10709"/>
    <w:rsid w:val="00F136B3"/>
    <w:rsid w:val="00F140C5"/>
    <w:rsid w:val="00F15DC9"/>
    <w:rsid w:val="00F2596C"/>
    <w:rsid w:val="00F35462"/>
    <w:rsid w:val="00F35800"/>
    <w:rsid w:val="00F3633E"/>
    <w:rsid w:val="00F42C94"/>
    <w:rsid w:val="00F45205"/>
    <w:rsid w:val="00F549A4"/>
    <w:rsid w:val="00F6219E"/>
    <w:rsid w:val="00F67F48"/>
    <w:rsid w:val="00F73FC7"/>
    <w:rsid w:val="00F805FF"/>
    <w:rsid w:val="00F84BF8"/>
    <w:rsid w:val="00FA38B4"/>
    <w:rsid w:val="00FB5BC4"/>
    <w:rsid w:val="00FD316F"/>
    <w:rsid w:val="00FD4E9C"/>
    <w:rsid w:val="00FE5466"/>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662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948">
      <w:bodyDiv w:val="1"/>
      <w:marLeft w:val="0"/>
      <w:marRight w:val="0"/>
      <w:marTop w:val="0"/>
      <w:marBottom w:val="0"/>
      <w:divBdr>
        <w:top w:val="none" w:sz="0" w:space="0" w:color="auto"/>
        <w:left w:val="none" w:sz="0" w:space="0" w:color="auto"/>
        <w:bottom w:val="none" w:sz="0" w:space="0" w:color="auto"/>
        <w:right w:val="none" w:sz="0" w:space="0" w:color="auto"/>
      </w:divBdr>
    </w:div>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208079572">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415513110">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645204570">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932275919">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046831577">
      <w:bodyDiv w:val="1"/>
      <w:marLeft w:val="0"/>
      <w:marRight w:val="0"/>
      <w:marTop w:val="0"/>
      <w:marBottom w:val="0"/>
      <w:divBdr>
        <w:top w:val="none" w:sz="0" w:space="0" w:color="auto"/>
        <w:left w:val="none" w:sz="0" w:space="0" w:color="auto"/>
        <w:bottom w:val="none" w:sz="0" w:space="0" w:color="auto"/>
        <w:right w:val="none" w:sz="0" w:space="0" w:color="auto"/>
      </w:divBdr>
    </w:div>
    <w:div w:id="1150095893">
      <w:bodyDiv w:val="1"/>
      <w:marLeft w:val="0"/>
      <w:marRight w:val="0"/>
      <w:marTop w:val="0"/>
      <w:marBottom w:val="0"/>
      <w:divBdr>
        <w:top w:val="none" w:sz="0" w:space="0" w:color="auto"/>
        <w:left w:val="none" w:sz="0" w:space="0" w:color="auto"/>
        <w:bottom w:val="none" w:sz="0" w:space="0" w:color="auto"/>
        <w:right w:val="none" w:sz="0" w:space="0" w:color="auto"/>
      </w:divBdr>
      <w:divsChild>
        <w:div w:id="550730084">
          <w:marLeft w:val="0"/>
          <w:marRight w:val="0"/>
          <w:marTop w:val="0"/>
          <w:marBottom w:val="0"/>
          <w:divBdr>
            <w:top w:val="none" w:sz="0" w:space="0" w:color="auto"/>
            <w:left w:val="none" w:sz="0" w:space="0" w:color="auto"/>
            <w:bottom w:val="none" w:sz="0" w:space="0" w:color="auto"/>
            <w:right w:val="none" w:sz="0" w:space="0" w:color="auto"/>
          </w:divBdr>
        </w:div>
        <w:div w:id="383601894">
          <w:marLeft w:val="0"/>
          <w:marRight w:val="0"/>
          <w:marTop w:val="0"/>
          <w:marBottom w:val="0"/>
          <w:divBdr>
            <w:top w:val="none" w:sz="0" w:space="0" w:color="auto"/>
            <w:left w:val="none" w:sz="0" w:space="0" w:color="auto"/>
            <w:bottom w:val="none" w:sz="0" w:space="0" w:color="auto"/>
            <w:right w:val="none" w:sz="0" w:space="0" w:color="auto"/>
          </w:divBdr>
          <w:divsChild>
            <w:div w:id="237249963">
              <w:marLeft w:val="0"/>
              <w:marRight w:val="0"/>
              <w:marTop w:val="0"/>
              <w:marBottom w:val="0"/>
              <w:divBdr>
                <w:top w:val="none" w:sz="0" w:space="0" w:color="auto"/>
                <w:left w:val="none" w:sz="0" w:space="0" w:color="auto"/>
                <w:bottom w:val="none" w:sz="0" w:space="0" w:color="auto"/>
                <w:right w:val="none" w:sz="0" w:space="0" w:color="auto"/>
              </w:divBdr>
              <w:divsChild>
                <w:div w:id="5439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793210014">
      <w:bodyDiv w:val="1"/>
      <w:marLeft w:val="0"/>
      <w:marRight w:val="0"/>
      <w:marTop w:val="0"/>
      <w:marBottom w:val="0"/>
      <w:divBdr>
        <w:top w:val="none" w:sz="0" w:space="0" w:color="auto"/>
        <w:left w:val="none" w:sz="0" w:space="0" w:color="auto"/>
        <w:bottom w:val="none" w:sz="0" w:space="0" w:color="auto"/>
        <w:right w:val="none" w:sz="0" w:space="0" w:color="auto"/>
      </w:divBdr>
    </w:div>
    <w:div w:id="1889224876">
      <w:bodyDiv w:val="1"/>
      <w:marLeft w:val="0"/>
      <w:marRight w:val="0"/>
      <w:marTop w:val="0"/>
      <w:marBottom w:val="0"/>
      <w:divBdr>
        <w:top w:val="none" w:sz="0" w:space="0" w:color="auto"/>
        <w:left w:val="none" w:sz="0" w:space="0" w:color="auto"/>
        <w:bottom w:val="none" w:sz="0" w:space="0" w:color="auto"/>
        <w:right w:val="none" w:sz="0" w:space="0" w:color="auto"/>
      </w:divBdr>
    </w:div>
    <w:div w:id="1904634928">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02T13:07:23.843"/>
    </inkml:context>
    <inkml:brush xml:id="br0">
      <inkml:brushProperty name="width" value="0.05" units="cm"/>
      <inkml:brushProperty name="height" value="0.05" units="cm"/>
    </inkml:brush>
  </inkml:definitions>
  <inkml:trace contextRef="#ctx0" brushRef="#br0">2 373 16152 0 0,'0'-16'0'0'0,"-1"-23"48"0"0,1-8 0 0 0,0-4 64 0 0,0-4 7 0 0,8-60-12478 0 0,-6 66 16983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02T13:07:23.667"/>
    </inkml:context>
    <inkml:brush xml:id="br0">
      <inkml:brushProperty name="width" value="0.05" units="cm"/>
      <inkml:brushProperty name="height" value="0.05" units="cm"/>
    </inkml:brush>
  </inkml:definitions>
  <inkml:trace contextRef="#ctx0" brushRef="#br0">0 25 12760 0 0,'3'-25'80'0'0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02T13:07:31.327"/>
    </inkml:context>
    <inkml:brush xml:id="br0">
      <inkml:brushProperty name="width" value="0.035" units="cm"/>
      <inkml:brushProperty name="height" value="0.035" units="cm"/>
    </inkml:brush>
  </inkml:definitions>
  <inkml:trace contextRef="#ctx0" brushRef="#br0">1 1 12888 0 0,'0'0'-9672'0'0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D1C42B6-FE66-48BA-AAD9-49CAB5AF11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1486</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Claudia Rota</cp:lastModifiedBy>
  <cp:revision>3</cp:revision>
  <dcterms:created xsi:type="dcterms:W3CDTF">2025-07-13T06:50:00Z</dcterms:created>
  <dcterms:modified xsi:type="dcterms:W3CDTF">2025-07-13T06:50:00Z</dcterms:modified>
</cp:coreProperties>
</file>