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161CCCFD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1D5950">
        <w:rPr>
          <w:rFonts w:ascii="Rubik" w:hAnsi="Rubik" w:cs="Rubik"/>
          <w:color w:val="000000"/>
          <w:sz w:val="20"/>
          <w:szCs w:val="20"/>
        </w:rPr>
        <w:t>2025-2026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..l...</w:t>
      </w:r>
      <w:proofErr w:type="gramEnd"/>
      <w:r w:rsidRPr="0050006E">
        <w:rPr>
          <w:rFonts w:ascii="Rubik" w:hAnsi="Rubik" w:cs="Rubik"/>
          <w:sz w:val="20"/>
          <w:szCs w:val="20"/>
        </w:rPr>
        <w:t>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797A304B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1D5950">
        <w:rPr>
          <w:rFonts w:ascii="Rubik" w:hAnsi="Rubik" w:cs="Rubik"/>
          <w:color w:val="000000"/>
          <w:sz w:val="20"/>
        </w:rPr>
        <w:t>2025-2026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3D1745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6D9C4785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1F70B912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Strategic management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4278B5D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Accounting Governance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Sustainability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2BE4CBD4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Pilonato Silvia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036C4BE0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6CA78B44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7296A710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business model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1893F84B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7FA902E0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11E03CF8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628FB7A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3E857F66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New business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venturing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22753DF4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06D68193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6E35A643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1B384B95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59B854B1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Statistics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for management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0F95E1AC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03FF2F06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Bianchi Annamaria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6FBB9ABF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0B2C799E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444248FD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Globalizzazione e sviluppo sostenibile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3DF6DA4B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4221348E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0EEA061A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0D7D6F53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C4B" w14:textId="42F8D71B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17" w14:textId="5F610178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Asset management and private banking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BE3" w14:textId="2782508E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7D6" w14:textId="4D592A02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Geranio Manuela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473" w14:textId="70AD6112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18" w14:textId="7777777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1B4C9A60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4671E148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19DC56CF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Financial and insurance risk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modeling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34FAF9E6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F" w14:textId="1B51B6F6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Maggioni Francesca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28E4BD02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E59" w14:textId="7777777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D1745" w14:paraId="7B9A0F47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B776" w14:textId="604905E9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BF2" w14:textId="6C74A3DE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Blockchain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digital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A34" w14:textId="51BF6EE3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6F5" w14:textId="380DE264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2C71" w14:textId="07B2EDB3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30F" w14:textId="77777777" w:rsidR="003D1745" w:rsidRDefault="003D1745" w:rsidP="003D174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conseguita presso l’Università di 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 votazione pari a 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;</w:t>
      </w:r>
    </w:p>
    <w:p w14:paraId="0BAB7EDA" w14:textId="5DC0E07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1D5950">
        <w:rPr>
          <w:rFonts w:ascii="Rubik" w:hAnsi="Rubik" w:cs="Rubik"/>
          <w:sz w:val="20"/>
          <w:szCs w:val="20"/>
        </w:rPr>
        <w:t>2025-2026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2B303628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1D5950">
        <w:rPr>
          <w:rFonts w:ascii="Rubik" w:hAnsi="Rubik" w:cs="Rubik"/>
          <w:sz w:val="20"/>
          <w:szCs w:val="20"/>
        </w:rPr>
        <w:t>2025-2026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34927005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r w:rsidR="001D5950" w:rsidRPr="00C30C86">
        <w:rPr>
          <w:rFonts w:ascii="Rubik" w:hAnsi="Rubik" w:cs="Rubik"/>
          <w:sz w:val="20"/>
          <w:szCs w:val="20"/>
        </w:rPr>
        <w:t>struttura di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1D5950" w:rsidRPr="00C30C86">
        <w:rPr>
          <w:rFonts w:ascii="Rubik" w:hAnsi="Rubik" w:cs="Rubik"/>
          <w:sz w:val="20"/>
          <w:szCs w:val="20"/>
        </w:rPr>
        <w:t>afferenza ovvero</w:t>
      </w:r>
      <w:r w:rsidRPr="00C30C86">
        <w:rPr>
          <w:rFonts w:ascii="Rubik" w:hAnsi="Rubik" w:cs="Rubik"/>
          <w:sz w:val="20"/>
          <w:szCs w:val="20"/>
        </w:rPr>
        <w:t xml:space="preserve"> con il Rettore, il Direttore Generale o un componente del </w:t>
      </w:r>
      <w:r w:rsidR="001D5950" w:rsidRPr="00C30C86">
        <w:rPr>
          <w:rFonts w:ascii="Rubik" w:hAnsi="Rubik" w:cs="Rubik"/>
          <w:sz w:val="20"/>
          <w:szCs w:val="20"/>
        </w:rPr>
        <w:t>Consiglio di amministrazione</w:t>
      </w:r>
      <w:r w:rsidRPr="00C30C86">
        <w:rPr>
          <w:rFonts w:ascii="Rubik" w:hAnsi="Rubik" w:cs="Rubik"/>
          <w:sz w:val="20"/>
          <w:szCs w:val="20"/>
        </w:rPr>
        <w:t xml:space="preserve">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>.via 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6877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42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64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5472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4901">
    <w:abstractNumId w:val="5"/>
  </w:num>
  <w:num w:numId="6" w16cid:durableId="1931162901">
    <w:abstractNumId w:val="4"/>
  </w:num>
  <w:num w:numId="7" w16cid:durableId="573248676">
    <w:abstractNumId w:val="1"/>
  </w:num>
  <w:num w:numId="8" w16cid:durableId="1409763326">
    <w:abstractNumId w:val="0"/>
  </w:num>
  <w:num w:numId="9" w16cid:durableId="119708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5950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1745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42B5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2025-09-09T12:49:00Z</dcterms:modified>
</cp:coreProperties>
</file>