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Rubik" w:cs="Rubik" w:eastAsia="Rubik" w:hAnsi="Rubik"/>
          <w:u w:val="single"/>
        </w:rPr>
      </w:pPr>
      <w:r w:rsidDel="00000000" w:rsidR="00000000" w:rsidRPr="00000000">
        <w:rPr>
          <w:rFonts w:ascii="Rubik" w:cs="Rubik" w:eastAsia="Rubik" w:hAnsi="Rubik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jc w:val="center"/>
        <w:rPr>
          <w:rFonts w:ascii="Rubik" w:cs="Rubik" w:eastAsia="Rubik" w:hAnsi="Rubi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ubik" w:cs="Rubik" w:eastAsia="Rubik" w:hAnsi="Rubi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L’UNIVERSITÀ DEGLI STUDI DI BERGAMO ACCOGLIE LA DELEGAZIONE DEL ZHONGGUANCUN SCIENCE PARK DI PECHINO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ubik" w:cs="Rubik" w:eastAsia="Rubik" w:hAnsi="Rubik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ubik" w:cs="Rubik" w:eastAsia="Rubik" w:hAnsi="Rubi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" w:cs="Rubik" w:eastAsia="Rubik" w:hAnsi="Rubik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Bergamo, 27 ottobre 2025</w:t>
      </w:r>
      <w:r w:rsidDel="00000000" w:rsidR="00000000" w:rsidRPr="00000000">
        <w:rPr>
          <w:rFonts w:ascii="Rubik" w:cs="Rubik" w:eastAsia="Rubik" w:hAnsi="Rubi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Lunedì 27 ottobre, l’Università degli studi di Bergamo ha ospitato una delegazione del </w:t>
      </w:r>
      <w:r w:rsidDel="00000000" w:rsidR="00000000" w:rsidRPr="00000000">
        <w:rPr>
          <w:rFonts w:ascii="Rubik" w:cs="Rubik" w:eastAsia="Rubik" w:hAnsi="Rubik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Comitato Amministrativo del Parco Scientifico e Tecnologico di Zhongguancun (Pechino)</w:t>
      </w:r>
      <w:r w:rsidDel="00000000" w:rsidR="00000000" w:rsidRPr="00000000">
        <w:rPr>
          <w:rFonts w:ascii="Rubik" w:cs="Rubik" w:eastAsia="Rubik" w:hAnsi="Rubi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nell’ambito di un </w:t>
      </w:r>
      <w:r w:rsidDel="00000000" w:rsidR="00000000" w:rsidRPr="00000000">
        <w:rPr>
          <w:rFonts w:ascii="Rubik" w:cs="Rubik" w:eastAsia="Rubik" w:hAnsi="Rubik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di formazione internazionale</w:t>
      </w:r>
      <w:r w:rsidDel="00000000" w:rsidR="00000000" w:rsidRPr="00000000">
        <w:rPr>
          <w:rFonts w:ascii="Rubik" w:cs="Rubik" w:eastAsia="Rubik" w:hAnsi="Rubi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organizzato dalla Scuola di Alta Formazione dell’Ateneo.</w:t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Zhongguancun Science Park (Z-Park), fondato nel 1988, è uno dei principali poli di innovazione tecnologica della Cina, sede di oltre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22.000 imprese high-tech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punto di riferimento mondiale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nei settori dell’elettronica, biomedicina, nuovi materiali, energia, manifattura avanzata e intelligenza artificiale. All’interno del parco operano università di eccellenza come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Tsinghua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Peking University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istituti di ricerca, centri R&amp;D di multinazionali e incubatori di imprese innovative.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La delegazione — composta da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venti rappresentanti del Comitato Amministrativo di Zhongguancun e di istituzioni scientifiche e industriali di Pechino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— ha preso parte, nella mattinata, a un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training 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dedicato ai sistemi di gestione universitaria, alla valutazione ANVUR e ai dipartimenti di eccellenza, a cura della prof.ssa Giuditta Pezzotta. A seguire, si è tenuto un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incontro con la governance dell’Ateneo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presso l’Aula Fornasa dell’ex monastero di Sant’Agostino, alla presenza del Rettore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 prof. Sergio Cavalieri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della Prorettrice con delega all’internazionalizzazione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prof.ssa Flaminia Nicora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 Direttore del Dipartimento di Ingegneria Gestionale, dell’Informazione e della Produzione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prof. Gianluca D’Urso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dell'Assessora alle Politiche sociali, Longevità, Salute e Sport del Comune di Bergamo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Marcella Messina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 Direttore del Parco Scientifico Tecnologico Kilometro Rosso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Salvatore Majorana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Cristian Arrigoni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Miriam Gualini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rispettivamente Direttore e Presidente di Bergamo Sviluppo, Azienda Speciale della Camera di Commercio di Bergamo.</w:t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La visita all’Università di Bergamo rappresenta la prima tappa di una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settimana di scambio e formazione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che proseguirà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fino al 7 novembre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coinvolgendo diverse realtà accademiche, scientifiche e produttive lombarde.</w:t>
      </w:r>
    </w:p>
    <w:p w:rsidR="00000000" w:rsidDel="00000000" w:rsidP="00000000" w:rsidRDefault="00000000" w:rsidRPr="00000000" w14:paraId="0000000A">
      <w:pPr>
        <w:spacing w:before="280" w:lineRule="auto"/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Il programma prevede, per mercoledì 29 ottobre, un approfondimento sull’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ecosistema bergamasco dell’innovazione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a cura del prof. Gianluca D’Urso, con una lezione seguita da una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visita ai laboratori di ingegneria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agli spazi di ricerca congiunta del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JOiiNT Lab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del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Consorzio Intellimech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. Nei giorni successivi, la delegazione avrà modo di conoscere da vicino il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Parco Scientifico Tecnologico Kilometro Rosso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le attività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Bergamo Sviluppo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i progetti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trasferimento tecnologico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illustrati dal prof. Giuseppe Rosace, con visita presso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TESMEC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. Sono inoltre previste tappe presso alcuni tra i principali centri di competenza e innovazione milanesi – il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MADE Competence Centre Industria 4.0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il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MIND Milano Innovation District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–, con momenti di confronto e scambio di buone pratiche.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134" w:top="2579" w:left="1418" w:right="1134" w:header="708" w:footer="3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Ufficio stampa Università degli studi di Bergamo 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Claudia Rota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claudia.rota@unibg.it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348 5100463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b="0" l="0" r="0" t="0"/>
          <wp:wrapNone/>
          <wp:docPr descr="/Volumes/Estensione_DiscoFisso/CartaIntestata_UniBg_pulita/Header_generico_Tavola disegno 1.png" id="18" name="image1.png"/>
          <a:graphic>
            <a:graphicData uri="http://schemas.openxmlformats.org/drawingml/2006/picture">
              <pic:pic>
                <pic:nvPicPr>
                  <pic:cNvPr descr="/Volumes/Estensione_DiscoFisso/CartaIntestata_UniBg_pulita/Header_generico_Tavola disegn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3" style="position:absolute;width:595.45pt;height:132.0pt;rotation:0;z-index:-503316481;mso-position-horizontal-relative:margin;mso-position-horizontal:center;mso-position-vertical-relative:margin;mso-position-vertical:center;" alt="/Users/noemiborghese/Downloads/Header_Dirigenza/Header_DirettoreGenerale_Tavola disegno 1.png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2" style="position:absolute;width:595.45pt;height:132.0pt;rotation:0;z-index:-503316481;mso-position-horizontal-relative:margin;mso-position-horizontal:absolute;margin-left:-71.05pt;mso-position-vertical-relative:margin;mso-position-vertical:absolute;margin-top:-128.75pt;" alt="/Volumes/Estensione_DiscoFisso/CartaIntestata_UniBg_pulita/Header_generico_Tavola disegno 1.png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b="0" l="0" r="0" t="0"/>
          <wp:wrapNone/>
          <wp:docPr descr="/Volumes/Estensione_DiscoFisso/CartaIntestata_UniBg_pulita/Header_generico_Tavola disegno 1.png" id="17" name="image1.png"/>
          <a:graphic>
            <a:graphicData uri="http://schemas.openxmlformats.org/drawingml/2006/picture">
              <pic:pic>
                <pic:nvPicPr>
                  <pic:cNvPr descr="/Volumes/Estensione_DiscoFisso/CartaIntestata_UniBg_pulita/Header_generico_Tavola disegn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1" style="position:absolute;width:595.45pt;height:132.0pt;rotation:0;z-index:-503316481;mso-position-horizontal-relative:margin;mso-position-horizontal:center;mso-position-vertical-relative:margin;mso-position-vertical:center;" alt="/Users/noemiborghese/Downloads/Header_Dirigenza/Header_DirettoreGenerale_Tavola disegno 1.png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35C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 w:val="1"/>
    <w:rsid w:val="00235C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 w:val="1"/>
    <w:rsid w:val="00235C5C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E1637B"/>
    <w:rPr>
      <w:color w:val="0563c1" w:themeColor="hyperlink"/>
      <w:u w:val="single"/>
    </w:rPr>
  </w:style>
  <w:style w:type="paragraph" w:styleId="xmsonormal" w:customStyle="1">
    <w:name w:val="x_msonormal"/>
    <w:basedOn w:val="Normale"/>
    <w:rsid w:val="00B30E6A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 w:val="1"/>
    <w:rsid w:val="00D25DEF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ED5539"/>
    <w:pPr>
      <w:spacing w:after="100" w:afterAutospacing="1" w:before="100" w:beforeAutospacing="1"/>
    </w:pPr>
    <w:rPr>
      <w:rFonts w:ascii="Times" w:hAnsi="Times" w:eastAsiaTheme="minorHAnsi"/>
      <w:sz w:val="20"/>
      <w:szCs w:val="20"/>
    </w:rPr>
  </w:style>
  <w:style w:type="paragraph" w:styleId="Revisione">
    <w:name w:val="Revision"/>
    <w:hidden w:val="1"/>
    <w:uiPriority w:val="99"/>
    <w:semiHidden w:val="1"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571C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491F4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91F4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491F41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B42D2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B42D2"/>
    <w:rPr>
      <w:rFonts w:ascii="Segoe UI" w:cs="Segoe UI" w:hAnsi="Segoe UI"/>
      <w:sz w:val="18"/>
      <w:szCs w:val="18"/>
    </w:rPr>
  </w:style>
  <w:style w:type="character" w:styleId="il" w:customStyle="1">
    <w:name w:val="il"/>
    <w:basedOn w:val="Carpredefinitoparagrafo"/>
    <w:rsid w:val="00340260"/>
  </w:style>
  <w:style w:type="character" w:styleId="arttextincomma" w:customStyle="1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 w:val="1"/>
    <w:rsid w:val="0084767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GrJ7YTfw7wNSCfY9PSxfT0ThA==">CgMxLjA4AHIhMVhCckxiZXUxOFhuUHk0WUZpa1l0Z0ptTlo1N0d6bmJI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2025-10-23T13:03:00Z</dcterms:created>
  <dc:creator>Federica Crippa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