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A7CB1" w14:textId="77777777" w:rsidR="00993054" w:rsidRDefault="009930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60E500B" w14:textId="77777777" w:rsidR="00993054" w:rsidRDefault="00000000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>
        <w:rPr>
          <w:rFonts w:ascii="Rubik" w:eastAsia="Rubik" w:hAnsi="Rubik" w:cs="Rubik"/>
          <w:sz w:val="22"/>
          <w:szCs w:val="22"/>
          <w:u w:val="single"/>
        </w:rPr>
        <w:t>COMUNICATO STAMPA</w:t>
      </w:r>
    </w:p>
    <w:p w14:paraId="2E218340" w14:textId="77777777" w:rsidR="00993054" w:rsidRDefault="00000000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>
        <w:rPr>
          <w:rFonts w:ascii="Rubik" w:eastAsia="Rubik" w:hAnsi="Rubik" w:cs="Rubik"/>
          <w:sz w:val="22"/>
          <w:szCs w:val="22"/>
          <w:u w:val="single"/>
        </w:rPr>
        <w:t xml:space="preserve"> </w:t>
      </w:r>
    </w:p>
    <w:p w14:paraId="56B4EC24" w14:textId="77777777" w:rsidR="00993054" w:rsidRDefault="00000000">
      <w:pPr>
        <w:jc w:val="center"/>
        <w:rPr>
          <w:rFonts w:ascii="Rubik" w:eastAsia="Rubik" w:hAnsi="Rubik" w:cs="Rubik"/>
          <w:b/>
          <w:bCs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>RIVOLUZIONE DIGITALE E INTELLIGENZA ARTIFICIALE:</w:t>
      </w:r>
      <w:r>
        <w:rPr>
          <w:rFonts w:ascii="Rubik" w:eastAsia="Rubik" w:hAnsi="Rubik" w:cs="Rubik"/>
          <w:b/>
          <w:bCs/>
          <w:sz w:val="22"/>
          <w:szCs w:val="22"/>
        </w:rPr>
        <w:br/>
        <w:t>“ABBIAMO BISOGNO DI NUOVI STRUMENTI PER COMPRENDERE</w:t>
      </w:r>
      <w:r>
        <w:rPr>
          <w:rFonts w:ascii="Rubik" w:eastAsia="Rubik" w:hAnsi="Rubik" w:cs="Rubik"/>
          <w:b/>
          <w:bCs/>
          <w:sz w:val="22"/>
          <w:szCs w:val="22"/>
        </w:rPr>
        <w:br/>
        <w:t>MENTRE IL MONDO CAMBIA SOTTO I NOSTRI OCCHI”</w:t>
      </w:r>
    </w:p>
    <w:p w14:paraId="75D3FC43" w14:textId="77777777" w:rsidR="00993054" w:rsidRDefault="00000000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>
        <w:rPr>
          <w:rFonts w:ascii="Rubik" w:eastAsia="Rubik" w:hAnsi="Rubik" w:cs="Rubik"/>
          <w:sz w:val="22"/>
          <w:szCs w:val="22"/>
          <w:u w:val="single"/>
        </w:rPr>
        <w:t xml:space="preserve"> </w:t>
      </w:r>
    </w:p>
    <w:p w14:paraId="608198B7" w14:textId="77777777" w:rsidR="00993054" w:rsidRDefault="00000000">
      <w:pPr>
        <w:jc w:val="center"/>
        <w:rPr>
          <w:rFonts w:ascii="Rubik" w:eastAsia="Rubik" w:hAnsi="Rubik" w:cs="Rubik"/>
          <w:b/>
          <w:bCs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>L’UNIVERSITÀ DI BERGAMO INAUGURA L’ANNO ACCADEMICO 2025-2026.</w:t>
      </w:r>
      <w:r>
        <w:rPr>
          <w:rFonts w:ascii="Rubik" w:eastAsia="Rubik" w:hAnsi="Rubik" w:cs="Rubik"/>
          <w:b/>
          <w:bCs/>
          <w:sz w:val="22"/>
          <w:szCs w:val="22"/>
        </w:rPr>
        <w:br/>
        <w:t>IL RETTORE CAVALIERI: “FORMARE COMPETENZE TRASVERSALI PER AFFRONTARE LE NUOVE SFIDE”. LECTIO MAGISTRALIS DEL PROF. OLIVER RIEDEL DELL’UNIVERSITÀ DI STOCCARDA ED ESECUZIONE PER LA PRIMA VOLTA DELL’INNO DELL’UNIVERSITÀ.</w:t>
      </w:r>
    </w:p>
    <w:p w14:paraId="66CC806A" w14:textId="77777777" w:rsidR="00993054" w:rsidRDefault="00000000">
      <w:pPr>
        <w:jc w:val="center"/>
        <w:rPr>
          <w:rFonts w:ascii="Rubik" w:eastAsia="Rubik" w:hAnsi="Rubik" w:cs="Rubik"/>
          <w:b/>
          <w:bCs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 xml:space="preserve"> </w:t>
      </w:r>
    </w:p>
    <w:p w14:paraId="4E675DD7" w14:textId="77777777" w:rsidR="00993054" w:rsidRDefault="00000000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>
        <w:rPr>
          <w:rFonts w:ascii="Rubik" w:eastAsia="Rubik" w:hAnsi="Rubik" w:cs="Rubik"/>
          <w:sz w:val="22"/>
          <w:szCs w:val="22"/>
          <w:u w:val="single"/>
        </w:rPr>
        <w:t xml:space="preserve"> </w:t>
      </w:r>
    </w:p>
    <w:p w14:paraId="6E87DA31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i/>
          <w:iCs/>
          <w:sz w:val="22"/>
          <w:szCs w:val="22"/>
        </w:rPr>
        <w:t xml:space="preserve">Bergamo, 26 novembre 2025 </w:t>
      </w:r>
      <w:r>
        <w:rPr>
          <w:rFonts w:ascii="Rubik" w:eastAsia="Rubik" w:hAnsi="Rubik" w:cs="Rubik"/>
          <w:sz w:val="22"/>
          <w:szCs w:val="22"/>
        </w:rPr>
        <w:t xml:space="preserve">– Nel mezzo di una rivoluzione senza precedenti, guidata dal digitale e dall’Intelligenza Artificiale, </w:t>
      </w:r>
      <w:r>
        <w:rPr>
          <w:rFonts w:ascii="Rubik" w:eastAsia="Rubik" w:hAnsi="Rubik" w:cs="Rubik"/>
          <w:b/>
          <w:bCs/>
          <w:sz w:val="22"/>
          <w:szCs w:val="22"/>
        </w:rPr>
        <w:t>il ruolo dell’Università è decisivo per affrontare insieme le sfide del cambiamento</w:t>
      </w:r>
      <w:r>
        <w:rPr>
          <w:rFonts w:ascii="Rubik" w:eastAsia="Rubik" w:hAnsi="Rubik" w:cs="Rubik"/>
          <w:sz w:val="22"/>
          <w:szCs w:val="22"/>
        </w:rPr>
        <w:t>, con strumenti di conoscenza e di responsabilità condivisa. Con questo spirito e questi obiettivi ha preso il via ufficialmente oggi, mercoledì 26 novembre, l’</w:t>
      </w:r>
      <w:r>
        <w:rPr>
          <w:rFonts w:ascii="Rubik" w:eastAsia="Rubik" w:hAnsi="Rubik" w:cs="Rubik"/>
          <w:b/>
          <w:bCs/>
          <w:sz w:val="22"/>
          <w:szCs w:val="22"/>
        </w:rPr>
        <w:t>Anno Accademico 2025-2026 dell’Università degli studi di Bergamo</w:t>
      </w:r>
      <w:r>
        <w:rPr>
          <w:rFonts w:ascii="Rubik" w:eastAsia="Rubik" w:hAnsi="Rubik" w:cs="Rubik"/>
          <w:sz w:val="22"/>
          <w:szCs w:val="22"/>
        </w:rPr>
        <w:t>.</w:t>
      </w:r>
    </w:p>
    <w:p w14:paraId="6CCA88E0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30F1FBFA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L’Aula Magna di Sant’Agostino, che per l’occasione ha cambiato volto con robot industriali, monitor e pannelli interattivi sull’AI allestiti in collaborazione con </w:t>
      </w:r>
      <w:r>
        <w:rPr>
          <w:rFonts w:ascii="Rubik" w:eastAsia="Rubik" w:hAnsi="Rubik" w:cs="Rubik"/>
          <w:b/>
          <w:bCs/>
          <w:sz w:val="22"/>
          <w:szCs w:val="22"/>
        </w:rPr>
        <w:t>Intellimech</w:t>
      </w:r>
      <w:r>
        <w:rPr>
          <w:rFonts w:ascii="Rubik" w:eastAsia="Rubik" w:hAnsi="Rubik" w:cs="Rubik"/>
          <w:sz w:val="22"/>
          <w:szCs w:val="22"/>
        </w:rPr>
        <w:t xml:space="preserve"> e </w:t>
      </w:r>
      <w:r>
        <w:rPr>
          <w:rFonts w:ascii="Rubik" w:eastAsia="Rubik" w:hAnsi="Rubik" w:cs="Rubik"/>
          <w:b/>
          <w:bCs/>
          <w:sz w:val="22"/>
          <w:szCs w:val="22"/>
        </w:rPr>
        <w:t>JOiiNT Lab</w:t>
      </w:r>
      <w:r>
        <w:rPr>
          <w:rFonts w:ascii="Rubik" w:eastAsia="Rubik" w:hAnsi="Rubik" w:cs="Rubik"/>
          <w:sz w:val="22"/>
          <w:szCs w:val="22"/>
        </w:rPr>
        <w:t xml:space="preserve">, ha accolto la comunità accademica e numerose autorità cittadine, tra cui la sindaca di Bergamo </w:t>
      </w:r>
      <w:r>
        <w:rPr>
          <w:rFonts w:ascii="Rubik" w:eastAsia="Rubik" w:hAnsi="Rubik" w:cs="Rubik"/>
          <w:b/>
          <w:bCs/>
          <w:sz w:val="22"/>
          <w:szCs w:val="22"/>
        </w:rPr>
        <w:t>Elena Carnevali</w:t>
      </w:r>
      <w:r>
        <w:rPr>
          <w:rFonts w:ascii="Rubik" w:eastAsia="Rubik" w:hAnsi="Rubik" w:cs="Rubik"/>
          <w:sz w:val="22"/>
          <w:szCs w:val="22"/>
        </w:rPr>
        <w:t xml:space="preserve">, il vicepresidente della Provincia </w:t>
      </w:r>
      <w:r>
        <w:rPr>
          <w:rFonts w:ascii="Rubik" w:eastAsia="Rubik" w:hAnsi="Rubik" w:cs="Rubik"/>
          <w:b/>
          <w:bCs/>
          <w:sz w:val="22"/>
          <w:szCs w:val="22"/>
        </w:rPr>
        <w:t>Umberto Valois</w:t>
      </w:r>
      <w:r>
        <w:rPr>
          <w:rFonts w:ascii="Rubik" w:eastAsia="Rubik" w:hAnsi="Rubik" w:cs="Rubik"/>
          <w:sz w:val="22"/>
          <w:szCs w:val="22"/>
        </w:rPr>
        <w:t xml:space="preserve">, il presidente della Regione Lombardia </w:t>
      </w:r>
      <w:r>
        <w:rPr>
          <w:rFonts w:ascii="Rubik" w:eastAsia="Rubik" w:hAnsi="Rubik" w:cs="Rubik"/>
          <w:b/>
          <w:bCs/>
          <w:sz w:val="22"/>
          <w:szCs w:val="22"/>
        </w:rPr>
        <w:t>Attilio Fontana</w:t>
      </w:r>
      <w:r>
        <w:rPr>
          <w:rFonts w:ascii="Rubik" w:eastAsia="Rubik" w:hAnsi="Rubik" w:cs="Rubik"/>
          <w:sz w:val="22"/>
          <w:szCs w:val="22"/>
        </w:rPr>
        <w:t xml:space="preserve"> e la consigliera delegata del ministro dell’Università e della Ricerca </w:t>
      </w:r>
      <w:r>
        <w:rPr>
          <w:rFonts w:ascii="Rubik" w:eastAsia="Rubik" w:hAnsi="Rubik" w:cs="Rubik"/>
          <w:b/>
          <w:bCs/>
          <w:sz w:val="22"/>
          <w:szCs w:val="22"/>
        </w:rPr>
        <w:t>Alessandra Gallone</w:t>
      </w:r>
      <w:r>
        <w:rPr>
          <w:rFonts w:ascii="Rubik" w:eastAsia="Rubik" w:hAnsi="Rubik" w:cs="Rubik"/>
          <w:sz w:val="22"/>
          <w:szCs w:val="22"/>
        </w:rPr>
        <w:t>, intervenuti per i saluti istituzionali.</w:t>
      </w:r>
    </w:p>
    <w:p w14:paraId="4E5C7060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4B4FE273" w14:textId="77777777" w:rsidR="00993054" w:rsidRDefault="00000000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>Dopo il corteo accademico e gli interventi di</w:t>
      </w:r>
      <w:r>
        <w:rPr>
          <w:rFonts w:ascii="Rubik" w:eastAsia="Rubik" w:hAnsi="Rubik" w:cs="Rubik"/>
          <w:b/>
          <w:bCs/>
          <w:sz w:val="22"/>
          <w:szCs w:val="22"/>
        </w:rPr>
        <w:t xml:space="preserve"> Michela Farina</w:t>
      </w:r>
      <w:r>
        <w:rPr>
          <w:rFonts w:ascii="Rubik" w:eastAsia="Rubik" w:hAnsi="Rubik" w:cs="Rubik"/>
          <w:sz w:val="22"/>
          <w:szCs w:val="22"/>
        </w:rPr>
        <w:t xml:space="preserve">, rappresentante della Componente del personale tecnico, amministrativo e bibliotecario nel Presidio della Qualità di Ateneo, e della presidente della Consulta degli studenti e delle studentesse di UniBg, </w:t>
      </w:r>
      <w:r>
        <w:rPr>
          <w:rFonts w:ascii="Rubik" w:eastAsia="Rubik" w:hAnsi="Rubik" w:cs="Rubik"/>
          <w:b/>
          <w:bCs/>
          <w:sz w:val="22"/>
          <w:szCs w:val="22"/>
        </w:rPr>
        <w:t>Giorgia Morotti</w:t>
      </w:r>
      <w:r>
        <w:rPr>
          <w:rFonts w:ascii="Rubik" w:eastAsia="Rubik" w:hAnsi="Rubik" w:cs="Rubik"/>
          <w:sz w:val="22"/>
          <w:szCs w:val="22"/>
        </w:rPr>
        <w:t xml:space="preserve">, la parola è passata al rettore </w:t>
      </w:r>
      <w:r>
        <w:rPr>
          <w:rFonts w:ascii="Rubik" w:eastAsia="Rubik" w:hAnsi="Rubik" w:cs="Rubik"/>
          <w:b/>
          <w:bCs/>
          <w:sz w:val="22"/>
          <w:szCs w:val="22"/>
        </w:rPr>
        <w:t>Sergio Cavalieri</w:t>
      </w:r>
      <w:r>
        <w:rPr>
          <w:rFonts w:ascii="Rubik" w:eastAsia="Rubik" w:hAnsi="Rubik" w:cs="Rubik"/>
          <w:sz w:val="22"/>
          <w:szCs w:val="22"/>
        </w:rPr>
        <w:t xml:space="preserve">, che nella sua prolusione ha richiamato la portata della </w:t>
      </w:r>
      <w:r>
        <w:rPr>
          <w:rFonts w:ascii="Rubik" w:eastAsia="Rubik" w:hAnsi="Rubik" w:cs="Rubik"/>
          <w:b/>
          <w:bCs/>
          <w:sz w:val="22"/>
          <w:szCs w:val="22"/>
        </w:rPr>
        <w:t>“nuova rivoluzione cognitiva”</w:t>
      </w:r>
      <w:r>
        <w:rPr>
          <w:rFonts w:ascii="Rubik" w:eastAsia="Rubik" w:hAnsi="Rubik" w:cs="Rubik"/>
          <w:sz w:val="22"/>
          <w:szCs w:val="22"/>
        </w:rPr>
        <w:t xml:space="preserve"> in atto: un cambiamento profondo, capace di trasformare non solo la società, ma il modo stesso in cui l’essere umano elabora la conoscenza. </w:t>
      </w:r>
      <w:r>
        <w:rPr>
          <w:rFonts w:ascii="Rubik" w:eastAsia="Rubik" w:hAnsi="Rubik" w:cs="Rubik"/>
          <w:i/>
          <w:iCs/>
          <w:sz w:val="22"/>
          <w:szCs w:val="22"/>
        </w:rPr>
        <w:t xml:space="preserve">“Automazione, robotica e intelligenza artificiale stanno ridisegnando il rapporto con il lavoro e il funzionamento delle relazioni economiche, sociali e culturali” </w:t>
      </w:r>
      <w:r>
        <w:rPr>
          <w:rFonts w:ascii="Rubik" w:eastAsia="Rubik" w:hAnsi="Rubik" w:cs="Rubik"/>
          <w:sz w:val="22"/>
          <w:szCs w:val="22"/>
        </w:rPr>
        <w:t xml:space="preserve">ha ricordato Cavalieri, sottolineando come la trasformazione digitale </w:t>
      </w:r>
      <w:r>
        <w:rPr>
          <w:rFonts w:ascii="Rubik" w:eastAsia="Rubik" w:hAnsi="Rubik" w:cs="Rubik"/>
          <w:i/>
          <w:iCs/>
          <w:sz w:val="22"/>
          <w:szCs w:val="22"/>
        </w:rPr>
        <w:t>“stia già modificando i nostri processi cognitivi e il modo in cui pensiamo”.</w:t>
      </w:r>
    </w:p>
    <w:p w14:paraId="52AF2BDE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2532D88A" w14:textId="77777777" w:rsidR="00993054" w:rsidRDefault="00000000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La sfida, secondo il rettore, è </w:t>
      </w:r>
      <w:r>
        <w:rPr>
          <w:rFonts w:ascii="Rubik" w:eastAsia="Rubik" w:hAnsi="Rubik" w:cs="Rubik"/>
          <w:b/>
          <w:bCs/>
          <w:sz w:val="22"/>
          <w:szCs w:val="22"/>
        </w:rPr>
        <w:t>evitare che l’innovazione alimenti nuove disuguaglianze</w:t>
      </w:r>
      <w:r>
        <w:rPr>
          <w:rFonts w:ascii="Rubik" w:eastAsia="Rubik" w:hAnsi="Rubik" w:cs="Rubik"/>
          <w:sz w:val="22"/>
          <w:szCs w:val="22"/>
        </w:rPr>
        <w:t xml:space="preserve">: </w:t>
      </w:r>
      <w:r>
        <w:rPr>
          <w:rFonts w:ascii="Rubik" w:eastAsia="Rubik" w:hAnsi="Rubik" w:cs="Rubik"/>
          <w:i/>
          <w:iCs/>
          <w:sz w:val="22"/>
          <w:szCs w:val="22"/>
        </w:rPr>
        <w:t>“Molti rischiano di rimanere ai margini di un’economia sempre più digitale. Abbiamo bisogno di nuovi strumenti per comprendere la conoscenza proprio mentre il mondo cambia sotto i nostri occhi. In questo scenario il ruolo delle Università è decisivo”.</w:t>
      </w:r>
    </w:p>
    <w:p w14:paraId="2AA9E766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531EEF8C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Nel suo intervento Cavalieri ha ripercorso l’impegno di UniBg sul fronte dell’intelligenza artificiale: dalla costituzione del </w:t>
      </w:r>
      <w:r>
        <w:rPr>
          <w:rFonts w:ascii="Rubik" w:eastAsia="Rubik" w:hAnsi="Rubik" w:cs="Rubik"/>
          <w:b/>
          <w:bCs/>
          <w:sz w:val="22"/>
          <w:szCs w:val="22"/>
        </w:rPr>
        <w:t>Tavolo interdipartimentale sull’IA</w:t>
      </w:r>
      <w:r>
        <w:rPr>
          <w:rFonts w:ascii="Rubik" w:eastAsia="Rubik" w:hAnsi="Rubik" w:cs="Rubik"/>
          <w:sz w:val="22"/>
          <w:szCs w:val="22"/>
        </w:rPr>
        <w:t xml:space="preserve"> alla pubblicazione di un’</w:t>
      </w:r>
      <w:r>
        <w:rPr>
          <w:rFonts w:ascii="Rubik" w:eastAsia="Rubik" w:hAnsi="Rubik" w:cs="Rubik"/>
          <w:b/>
          <w:bCs/>
          <w:sz w:val="22"/>
          <w:szCs w:val="22"/>
        </w:rPr>
        <w:t>agenda di ricerca</w:t>
      </w:r>
      <w:r>
        <w:rPr>
          <w:rFonts w:ascii="Rubik" w:eastAsia="Rubik" w:hAnsi="Rubik" w:cs="Rubik"/>
          <w:sz w:val="22"/>
          <w:szCs w:val="22"/>
        </w:rPr>
        <w:t xml:space="preserve"> sull’AI, dall’attivazione del dottorato in </w:t>
      </w:r>
      <w:r>
        <w:rPr>
          <w:rFonts w:ascii="Rubik" w:eastAsia="Rubik" w:hAnsi="Rubik" w:cs="Rubik"/>
          <w:i/>
          <w:iCs/>
          <w:sz w:val="22"/>
          <w:szCs w:val="22"/>
        </w:rPr>
        <w:t>Artificial Intelligence for Sustainable Futures</w:t>
      </w:r>
      <w:r>
        <w:rPr>
          <w:rFonts w:ascii="Rubik" w:eastAsia="Rubik" w:hAnsi="Rubik" w:cs="Rubik"/>
          <w:sz w:val="22"/>
          <w:szCs w:val="22"/>
        </w:rPr>
        <w:t xml:space="preserve"> alle </w:t>
      </w:r>
      <w:r>
        <w:rPr>
          <w:rFonts w:ascii="Rubik" w:eastAsia="Rubik" w:hAnsi="Rubik" w:cs="Rubik"/>
          <w:b/>
          <w:bCs/>
          <w:sz w:val="22"/>
          <w:szCs w:val="22"/>
        </w:rPr>
        <w:t>Linee guida per un uso etico e consapevole dell’AI</w:t>
      </w:r>
      <w:r>
        <w:rPr>
          <w:rFonts w:ascii="Rubik" w:eastAsia="Rubik" w:hAnsi="Rubik" w:cs="Rubik"/>
          <w:sz w:val="22"/>
          <w:szCs w:val="22"/>
        </w:rPr>
        <w:t xml:space="preserve">. A breve nascerà anche il </w:t>
      </w:r>
      <w:r>
        <w:rPr>
          <w:rFonts w:ascii="Rubik" w:eastAsia="Rubik" w:hAnsi="Rubik" w:cs="Rubik"/>
          <w:b/>
          <w:bCs/>
          <w:sz w:val="22"/>
          <w:szCs w:val="22"/>
        </w:rPr>
        <w:t>Center for Responsible AI</w:t>
      </w:r>
      <w:r>
        <w:rPr>
          <w:rFonts w:ascii="Rubik" w:eastAsia="Rubik" w:hAnsi="Rubik" w:cs="Rubik"/>
          <w:sz w:val="22"/>
          <w:szCs w:val="22"/>
        </w:rPr>
        <w:t>, pensato per riunire competenze e progettualità in collaborazione con centri di ricerca nazionali internazionali.</w:t>
      </w:r>
    </w:p>
    <w:p w14:paraId="64D8B03D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67EE00F4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lastRenderedPageBreak/>
        <w:t xml:space="preserve">Ampio spazio è stato dedicato anche al tema dell’internazionalizzazione, considerato una leva strategica per rispondere al fabbisogno formativo e all’aumento dei laureati a livello nazionale. UniBg conta oggi </w:t>
      </w:r>
      <w:r>
        <w:rPr>
          <w:rFonts w:ascii="Rubik" w:eastAsia="Rubik" w:hAnsi="Rubik" w:cs="Rubik"/>
          <w:b/>
          <w:bCs/>
          <w:sz w:val="22"/>
          <w:szCs w:val="22"/>
        </w:rPr>
        <w:t>oltre 280 insegnamenti in lingua estera</w:t>
      </w:r>
      <w:r>
        <w:rPr>
          <w:rFonts w:ascii="Rubik" w:eastAsia="Rubik" w:hAnsi="Rubik" w:cs="Rubik"/>
          <w:sz w:val="22"/>
          <w:szCs w:val="22"/>
        </w:rPr>
        <w:t xml:space="preserve">, </w:t>
      </w:r>
      <w:r>
        <w:rPr>
          <w:rFonts w:ascii="Rubik" w:eastAsia="Rubik" w:hAnsi="Rubik" w:cs="Rubik"/>
          <w:b/>
          <w:bCs/>
          <w:sz w:val="22"/>
          <w:szCs w:val="22"/>
        </w:rPr>
        <w:t>490 accordi internazionali</w:t>
      </w:r>
      <w:r>
        <w:rPr>
          <w:rFonts w:ascii="Rubik" w:eastAsia="Rubik" w:hAnsi="Rubik" w:cs="Rubik"/>
          <w:sz w:val="22"/>
          <w:szCs w:val="22"/>
        </w:rPr>
        <w:t xml:space="preserve">, </w:t>
      </w:r>
      <w:r>
        <w:rPr>
          <w:rFonts w:ascii="Rubik" w:eastAsia="Rubik" w:hAnsi="Rubik" w:cs="Rubik"/>
          <w:b/>
          <w:bCs/>
          <w:sz w:val="22"/>
          <w:szCs w:val="22"/>
        </w:rPr>
        <w:t>12 lauree magistrali</w:t>
      </w:r>
      <w:r>
        <w:rPr>
          <w:rFonts w:ascii="Rubik" w:eastAsia="Rubik" w:hAnsi="Rubik" w:cs="Rubik"/>
          <w:sz w:val="22"/>
          <w:szCs w:val="22"/>
        </w:rPr>
        <w:t xml:space="preserve"> e </w:t>
      </w:r>
      <w:r>
        <w:rPr>
          <w:rFonts w:ascii="Rubik" w:eastAsia="Rubik" w:hAnsi="Rubik" w:cs="Rubik"/>
          <w:b/>
          <w:bCs/>
          <w:sz w:val="22"/>
          <w:szCs w:val="22"/>
        </w:rPr>
        <w:t>1 triennale</w:t>
      </w:r>
      <w:r>
        <w:rPr>
          <w:rFonts w:ascii="Rubik" w:eastAsia="Rubik" w:hAnsi="Rubik" w:cs="Rubik"/>
          <w:sz w:val="22"/>
          <w:szCs w:val="22"/>
        </w:rPr>
        <w:t xml:space="preserve"> interamente in inglese, oltre a </w:t>
      </w:r>
      <w:r>
        <w:rPr>
          <w:rFonts w:ascii="Rubik" w:eastAsia="Rubik" w:hAnsi="Rubik" w:cs="Rubik"/>
          <w:b/>
          <w:bCs/>
          <w:sz w:val="22"/>
          <w:szCs w:val="22"/>
        </w:rPr>
        <w:t>19 doppi titoli attivi</w:t>
      </w:r>
      <w:r>
        <w:rPr>
          <w:rFonts w:ascii="Rubik" w:eastAsia="Rubik" w:hAnsi="Rubik" w:cs="Rubik"/>
          <w:sz w:val="22"/>
          <w:szCs w:val="22"/>
        </w:rPr>
        <w:t xml:space="preserve">. </w:t>
      </w:r>
      <w:r>
        <w:rPr>
          <w:rFonts w:ascii="Rubik" w:eastAsia="Rubik" w:hAnsi="Rubik" w:cs="Rubik"/>
          <w:i/>
          <w:iCs/>
          <w:sz w:val="22"/>
          <w:szCs w:val="22"/>
        </w:rPr>
        <w:t>“L’obiettivo è essere sempre più attrattivi, in particolare nei confronti degli studenti stranieri”</w:t>
      </w:r>
      <w:r>
        <w:rPr>
          <w:rFonts w:ascii="Rubik" w:eastAsia="Rubik" w:hAnsi="Rubik" w:cs="Rubik"/>
          <w:sz w:val="22"/>
          <w:szCs w:val="22"/>
        </w:rPr>
        <w:t xml:space="preserve"> ha ribadito Cavalieri.</w:t>
      </w:r>
    </w:p>
    <w:p w14:paraId="30A786F4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25F11137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Punto centrale della programmazione di Ateneo è anche il tema delle infrastrutture e del diritto allo studio. Nel suo intervento il rettore ha ricordato l’avvio dei lavori sul compendio </w:t>
      </w:r>
      <w:r>
        <w:rPr>
          <w:rFonts w:ascii="Rubik" w:eastAsia="Rubik" w:hAnsi="Rubik" w:cs="Rubik"/>
          <w:b/>
          <w:bCs/>
          <w:sz w:val="22"/>
          <w:szCs w:val="22"/>
        </w:rPr>
        <w:t>Montelungo-Colleoni</w:t>
      </w:r>
      <w:r>
        <w:rPr>
          <w:rFonts w:ascii="Rubik" w:eastAsia="Rubik" w:hAnsi="Rubik" w:cs="Rubik"/>
          <w:sz w:val="22"/>
          <w:szCs w:val="22"/>
        </w:rPr>
        <w:t xml:space="preserve">, che porterà a </w:t>
      </w:r>
      <w:r>
        <w:rPr>
          <w:rFonts w:ascii="Rubik" w:eastAsia="Rubik" w:hAnsi="Rubik" w:cs="Rubik"/>
          <w:b/>
          <w:bCs/>
          <w:sz w:val="22"/>
          <w:szCs w:val="22"/>
        </w:rPr>
        <w:t>282 posti letto</w:t>
      </w:r>
      <w:r>
        <w:rPr>
          <w:rFonts w:ascii="Rubik" w:eastAsia="Rubik" w:hAnsi="Rubik" w:cs="Rubik"/>
          <w:sz w:val="22"/>
          <w:szCs w:val="22"/>
        </w:rPr>
        <w:t xml:space="preserve"> riservati al diritto allo studio grazie anche all'importante contributo di Regione e di Fondazione Cariplo, </w:t>
      </w:r>
      <w:r>
        <w:rPr>
          <w:rFonts w:ascii="Rubik" w:eastAsia="Rubik" w:hAnsi="Rubik" w:cs="Rubik"/>
          <w:b/>
          <w:bCs/>
          <w:sz w:val="22"/>
          <w:szCs w:val="22"/>
        </w:rPr>
        <w:t>170 posti letto a libero mercato</w:t>
      </w:r>
      <w:r>
        <w:rPr>
          <w:rFonts w:ascii="Rubik" w:eastAsia="Rubik" w:hAnsi="Rubik" w:cs="Rubik"/>
          <w:sz w:val="22"/>
          <w:szCs w:val="22"/>
        </w:rPr>
        <w:t xml:space="preserve"> e </w:t>
      </w:r>
      <w:r>
        <w:rPr>
          <w:rFonts w:ascii="Rubik" w:eastAsia="Rubik" w:hAnsi="Rubik" w:cs="Rubik"/>
          <w:b/>
          <w:bCs/>
          <w:sz w:val="22"/>
          <w:szCs w:val="22"/>
        </w:rPr>
        <w:t>7 nuove aule didattiche</w:t>
      </w:r>
      <w:r>
        <w:rPr>
          <w:rFonts w:ascii="Rubik" w:eastAsia="Rubik" w:hAnsi="Rubik" w:cs="Rubik"/>
          <w:sz w:val="22"/>
          <w:szCs w:val="22"/>
        </w:rPr>
        <w:t xml:space="preserve">. Sono in fase di completamento anche lo </w:t>
      </w:r>
      <w:r>
        <w:rPr>
          <w:rFonts w:ascii="Rubik" w:eastAsia="Rubik" w:hAnsi="Rubik" w:cs="Rubik"/>
          <w:b/>
          <w:bCs/>
          <w:sz w:val="22"/>
          <w:szCs w:val="22"/>
        </w:rPr>
        <w:t>Student Office di Via Calvi</w:t>
      </w:r>
      <w:r>
        <w:rPr>
          <w:rFonts w:ascii="Rubik" w:eastAsia="Rubik" w:hAnsi="Rubik" w:cs="Rubik"/>
          <w:sz w:val="22"/>
          <w:szCs w:val="22"/>
        </w:rPr>
        <w:t xml:space="preserve">, impulso ai lavori già avviati sul </w:t>
      </w:r>
      <w:r>
        <w:rPr>
          <w:rFonts w:ascii="Rubik" w:eastAsia="Rubik" w:hAnsi="Rubik" w:cs="Rubik"/>
          <w:b/>
          <w:bCs/>
          <w:sz w:val="22"/>
          <w:szCs w:val="22"/>
        </w:rPr>
        <w:t>Polo di Via Statuto</w:t>
      </w:r>
      <w:r>
        <w:rPr>
          <w:rFonts w:ascii="Rubik" w:eastAsia="Rubik" w:hAnsi="Rubik" w:cs="Rubik"/>
          <w:sz w:val="22"/>
          <w:szCs w:val="22"/>
        </w:rPr>
        <w:t>, il pieno riutilizzo degli impianti sportivi di Loreto, previsto per la prossima primavera.</w:t>
      </w:r>
    </w:p>
    <w:p w14:paraId="2C2E24E7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014A750F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  <w:highlight w:val="white"/>
        </w:rPr>
      </w:pPr>
      <w:r>
        <w:rPr>
          <w:rFonts w:ascii="Rubik" w:eastAsia="Rubik" w:hAnsi="Rubik" w:cs="Rubik"/>
          <w:sz w:val="22"/>
          <w:szCs w:val="22"/>
        </w:rPr>
        <w:t xml:space="preserve">La cerimonia si è conclusa con la </w:t>
      </w:r>
      <w:r>
        <w:rPr>
          <w:rFonts w:ascii="Rubik" w:eastAsia="Rubik" w:hAnsi="Rubik" w:cs="Rubik"/>
          <w:b/>
          <w:bCs/>
          <w:sz w:val="22"/>
          <w:szCs w:val="22"/>
        </w:rPr>
        <w:t>Lectio Magistralis del prof. Oliver Riedel dell’Università di Stoccarda</w:t>
      </w:r>
      <w:r>
        <w:rPr>
          <w:rFonts w:ascii="Rubik" w:eastAsia="Rubik" w:hAnsi="Rubik" w:cs="Rubik"/>
          <w:sz w:val="22"/>
          <w:szCs w:val="22"/>
        </w:rPr>
        <w:t>, dedicata al ruolo dei digital twin e dell’AI nei sistemi produttivi di nuova generazione, a conferma del forte legame tra le due università – tra i principali poli europei dell’innovazione –, preceduta dall’esecuzione per la prima volta dell</w:t>
      </w:r>
      <w:r>
        <w:rPr>
          <w:rFonts w:ascii="Rubik" w:eastAsia="Rubik" w:hAnsi="Rubik" w:cs="Rubik"/>
          <w:b/>
          <w:bCs/>
          <w:sz w:val="22"/>
          <w:szCs w:val="22"/>
        </w:rPr>
        <w:t>’Inno dell’Università degli studi di Bergamo</w:t>
      </w:r>
      <w:r>
        <w:rPr>
          <w:rFonts w:ascii="Rubik" w:eastAsia="Rubik" w:hAnsi="Rubik" w:cs="Rubik"/>
          <w:sz w:val="22"/>
          <w:szCs w:val="22"/>
        </w:rPr>
        <w:t xml:space="preserve">, “O vos, est aetas”, introdotta dal prof. </w:t>
      </w:r>
      <w:r>
        <w:rPr>
          <w:rFonts w:ascii="Rubik" w:eastAsia="Rubik" w:hAnsi="Rubik" w:cs="Rubik"/>
          <w:b/>
          <w:bCs/>
          <w:sz w:val="22"/>
          <w:szCs w:val="22"/>
        </w:rPr>
        <w:t>Virgilio Bernardoni</w:t>
      </w:r>
      <w:r>
        <w:rPr>
          <w:rFonts w:ascii="Rubik" w:eastAsia="Rubik" w:hAnsi="Rubik" w:cs="Rubik"/>
          <w:sz w:val="22"/>
          <w:szCs w:val="22"/>
        </w:rPr>
        <w:t xml:space="preserve">, </w:t>
      </w:r>
      <w:r>
        <w:rPr>
          <w:rFonts w:ascii="Rubik" w:eastAsia="Rubik" w:hAnsi="Rubik" w:cs="Rubik"/>
          <w:sz w:val="22"/>
          <w:szCs w:val="22"/>
          <w:highlight w:val="white"/>
        </w:rPr>
        <w:t>professore di Musicologia e Storia della musica all'Università degli studi di Bergamo.</w:t>
      </w:r>
    </w:p>
    <w:p w14:paraId="20796A56" w14:textId="77777777" w:rsidR="00993054" w:rsidRDefault="00000000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i/>
          <w:iCs/>
          <w:sz w:val="22"/>
          <w:szCs w:val="22"/>
        </w:rPr>
        <w:t xml:space="preserve"> </w:t>
      </w:r>
    </w:p>
    <w:p w14:paraId="6CF12D52" w14:textId="77777777" w:rsidR="00993054" w:rsidRDefault="00000000">
      <w:pPr>
        <w:jc w:val="both"/>
        <w:rPr>
          <w:rFonts w:ascii="Rubik" w:eastAsia="Rubik" w:hAnsi="Rubik" w:cs="Rubik"/>
          <w:b/>
          <w:bCs/>
          <w:i/>
          <w:iCs/>
          <w:sz w:val="22"/>
          <w:szCs w:val="22"/>
        </w:rPr>
      </w:pPr>
      <w:r>
        <w:rPr>
          <w:rFonts w:ascii="Rubik" w:eastAsia="Rubik" w:hAnsi="Rubik" w:cs="Rubik"/>
          <w:b/>
          <w:bCs/>
          <w:i/>
          <w:iCs/>
          <w:sz w:val="22"/>
          <w:szCs w:val="22"/>
        </w:rPr>
        <w:t xml:space="preserve"> </w:t>
      </w:r>
    </w:p>
    <w:p w14:paraId="7B64A473" w14:textId="77777777" w:rsidR="00993054" w:rsidRDefault="00000000">
      <w:pPr>
        <w:jc w:val="both"/>
        <w:rPr>
          <w:rFonts w:ascii="Rubik" w:eastAsia="Rubik" w:hAnsi="Rubik" w:cs="Rubik"/>
          <w:b/>
          <w:bCs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>DICHIARAZIONI</w:t>
      </w:r>
    </w:p>
    <w:p w14:paraId="5F05C962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</w:rPr>
      </w:pPr>
      <w:r>
        <w:rPr>
          <w:rFonts w:ascii="Rubik" w:eastAsia="Rubik" w:hAnsi="Rubik" w:cs="Rubik"/>
          <w:sz w:val="22"/>
          <w:szCs w:val="22"/>
        </w:rPr>
        <w:t xml:space="preserve"> </w:t>
      </w:r>
    </w:p>
    <w:p w14:paraId="7C0BAD4F" w14:textId="77777777" w:rsidR="00993054" w:rsidRDefault="00000000">
      <w:pPr>
        <w:jc w:val="both"/>
        <w:rPr>
          <w:rFonts w:ascii="Rubik" w:eastAsia="Rubik" w:hAnsi="Rubik" w:cs="Rubik"/>
          <w:sz w:val="22"/>
          <w:szCs w:val="22"/>
          <w:u w:val="single"/>
        </w:rPr>
      </w:pPr>
      <w:r>
        <w:rPr>
          <w:rFonts w:ascii="Rubik" w:eastAsia="Rubik" w:hAnsi="Rubik" w:cs="Rubik"/>
          <w:b/>
          <w:bCs/>
          <w:sz w:val="22"/>
          <w:szCs w:val="22"/>
        </w:rPr>
        <w:t>Sergio Cavalieri</w:t>
      </w:r>
      <w:r>
        <w:rPr>
          <w:rFonts w:ascii="Rubik" w:eastAsia="Rubik" w:hAnsi="Rubik" w:cs="Rubik"/>
          <w:sz w:val="22"/>
          <w:szCs w:val="22"/>
        </w:rPr>
        <w:t xml:space="preserve">, Rettore dell’Università degli studi di Bergamo: </w:t>
      </w:r>
      <w:r>
        <w:rPr>
          <w:rFonts w:ascii="Rubik" w:eastAsia="Rubik" w:hAnsi="Rubik" w:cs="Rubik"/>
          <w:i/>
          <w:iCs/>
          <w:sz w:val="22"/>
          <w:szCs w:val="22"/>
        </w:rPr>
        <w:t>“Nel nostro ruolo siamo chiamati a guardare con responsabilità al futuro dei giovani. Viviamo un periodo segnato da tensioni geopolitiche e da una trasformazione tecnologica rapidissima, a cui spesso rispondiamo con preoccupazione o rassegnazione. È invece fondamentale trasmettere fiducia e consapevolezza, valorizzando gli investimenti che il Paese destina alla formazione. L’Università deve farsi promotrice di una visione costruttiva del futuro, capace di rendere i nostri studenti e le nostre studentesse protagonisti e non spettatori del cambiamento.”</w:t>
      </w:r>
    </w:p>
    <w:p w14:paraId="6704A170" w14:textId="77777777" w:rsidR="00993054" w:rsidRDefault="00993054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</w:p>
    <w:p w14:paraId="37B23B8D" w14:textId="77777777" w:rsidR="00993054" w:rsidRDefault="00000000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>Elena Carnevali</w:t>
      </w:r>
      <w:r>
        <w:rPr>
          <w:rFonts w:ascii="Rubik" w:eastAsia="Rubik" w:hAnsi="Rubik" w:cs="Rubik"/>
          <w:sz w:val="22"/>
          <w:szCs w:val="22"/>
        </w:rPr>
        <w:t xml:space="preserve">, sindaca del Comune di Bergamo: </w:t>
      </w:r>
      <w:r>
        <w:rPr>
          <w:rFonts w:ascii="Rubik" w:eastAsia="Rubik" w:hAnsi="Rubik" w:cs="Rubik"/>
          <w:i/>
          <w:iCs/>
          <w:sz w:val="22"/>
          <w:szCs w:val="22"/>
        </w:rPr>
        <w:t>“L’Università di Bergamo è un alleato fondamentale per lo sviluppo della città. Investire nella conoscenza, nella ricerca e nella formazione significa costruire una Bergamo più forte, più attrattiva e capace di cogliere le trasformazioni del presente. Con il Manifesto Bergamo Città Universitaria abbiamo scelto di rafforzare questa collaborazione e di darle un orizzonte strategico condiviso. Come Amministrazione siamo impegnati a lavorare al fianco dell’Ateneo per consolidare un ecosistema della conoscenza e dell’innovazione articolato attorno alle tre dorsali strategiche – salute, meccatronica, cultura e creatività – e capace di mettere in rete competenze, imprese e istituzioni. Un percorso che genera nuove opportunità per i giovani e conferma il ruolo di Bergamo come città che cresce e guarda avanti.”</w:t>
      </w:r>
    </w:p>
    <w:p w14:paraId="4BA35F59" w14:textId="77777777" w:rsidR="00993054" w:rsidRDefault="00993054">
      <w:pPr>
        <w:jc w:val="both"/>
        <w:rPr>
          <w:rFonts w:ascii="Rubik" w:eastAsia="Rubik" w:hAnsi="Rubik" w:cs="Rubik"/>
          <w:b/>
          <w:bCs/>
          <w:sz w:val="22"/>
          <w:szCs w:val="22"/>
          <w:highlight w:val="yellow"/>
        </w:rPr>
      </w:pPr>
    </w:p>
    <w:p w14:paraId="558DABFA" w14:textId="77777777" w:rsidR="00993054" w:rsidRDefault="00000000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>Umberto Valois</w:t>
      </w:r>
      <w:r>
        <w:rPr>
          <w:rFonts w:ascii="Rubik" w:eastAsia="Rubik" w:hAnsi="Rubik" w:cs="Rubik"/>
          <w:sz w:val="22"/>
          <w:szCs w:val="22"/>
        </w:rPr>
        <w:t>, vicepresidente della Provincia di Bergamo:</w:t>
      </w:r>
      <w:r>
        <w:rPr>
          <w:rFonts w:ascii="Rubik" w:eastAsia="Rubik" w:hAnsi="Rubik" w:cs="Rubik"/>
          <w:i/>
          <w:iCs/>
          <w:sz w:val="22"/>
          <w:szCs w:val="22"/>
        </w:rPr>
        <w:t xml:space="preserve"> "Ogni inaugurazione dell’anno accademico rappresenta molto più dell’avvio delle attività didattiche e scientifiche: è il rinnovo di un patto. Un patto tra l’Università, i suoi studenti e la comunità che la circonda. Un impegno reciproco a crescere insieme, a generare conoscenza e a trasformarla in sviluppo per tutto il territorio. La nostra Università ha saputo costruire negli anni un ruolo solido e insostituibile nel nostro territorio, coniugando apertura e sguardo internazionale e </w:t>
      </w:r>
      <w:r>
        <w:rPr>
          <w:rFonts w:ascii="Rubik" w:eastAsia="Rubik" w:hAnsi="Rubik" w:cs="Rubik"/>
          <w:i/>
          <w:iCs/>
          <w:sz w:val="22"/>
          <w:szCs w:val="22"/>
        </w:rPr>
        <w:lastRenderedPageBreak/>
        <w:t>al tempo stesso forte radicamento con la terra bergamasca. Da parte della Provincia esprimo un sincero ringraziamento al Magnifico Rettore per la collaborazione costante e sempre orientata alla costruzione di sinergie efficaci."</w:t>
      </w:r>
    </w:p>
    <w:p w14:paraId="370B7D13" w14:textId="77777777" w:rsidR="00993054" w:rsidRDefault="00993054">
      <w:pPr>
        <w:jc w:val="both"/>
        <w:rPr>
          <w:rFonts w:ascii="Rubik" w:eastAsia="Rubik" w:hAnsi="Rubik" w:cs="Rubik"/>
          <w:b/>
          <w:bCs/>
          <w:sz w:val="22"/>
          <w:szCs w:val="22"/>
          <w:highlight w:val="yellow"/>
        </w:rPr>
      </w:pPr>
    </w:p>
    <w:p w14:paraId="369207FF" w14:textId="3E5501B2" w:rsidR="00993054" w:rsidRDefault="00000000" w:rsidP="00581F60">
      <w:pPr>
        <w:jc w:val="both"/>
        <w:rPr>
          <w:rFonts w:ascii="Rubik" w:eastAsia="Rubik" w:hAnsi="Rubik" w:cs="Rubik"/>
          <w:i/>
          <w:iCs/>
          <w:color w:val="222222"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>Attilio Fontana</w:t>
      </w:r>
      <w:r>
        <w:rPr>
          <w:rFonts w:ascii="Rubik" w:eastAsia="Rubik" w:hAnsi="Rubik" w:cs="Rubik"/>
          <w:sz w:val="22"/>
          <w:szCs w:val="22"/>
        </w:rPr>
        <w:t xml:space="preserve">, presidente della Regione Lombardia: </w:t>
      </w:r>
      <w:r>
        <w:rPr>
          <w:rFonts w:ascii="Rubik" w:eastAsia="Rubik" w:hAnsi="Rubik" w:cs="Rubik"/>
          <w:i/>
          <w:iCs/>
          <w:color w:val="222222"/>
          <w:sz w:val="22"/>
          <w:szCs w:val="22"/>
        </w:rPr>
        <w:t>“La cerimonia rappresenta il momento più alto e simbolico della vita dell’Università, un vero atto di fiducia nella capacità dell’Ateneo e dell’intera comunità accademica di essere guida nel cambiamento a vantaggio del tessuto collettivo. Viviamo in un’epoca in cui la rivoluzione digitale permea la nostra quotidianità e il modo di studiare, produrre e comunicare richiede nuovi strumenti e, soprattutto, nuova conoscenza. Formazione e ricerca sono ciò che ci permette di governare l’innovazione e orientarla verso un futuro equo e sostenibile, tracciando la direzione strategica dell’Ateneo e il suo ruolo nella costruzione di un ecosistema di innovazione aperto, internazionale e responsabile. L’Università è prima di tutto comunità: un incontro tra pari, un’esperienza condivisa fatta di confronto e costruzione collettiva del sapere. È questo il momento giusto per assumersi la responsabilità dello studio, della crescita e del cambiamento. Le opportunità delle tecnologie digitali si colgono grazie alla capacità dell’Ateneo di essere parte delle reti globali che plasmano il futuro dell’industria e della società, come dimostrano i programmi di cooperazione internazionale, dalla Cina all’India, che testimoniano la volontà di anticipare il cambiamento e contribuire a costruirlo.</w:t>
      </w:r>
      <w:r w:rsidR="00581F60">
        <w:rPr>
          <w:rFonts w:ascii="Rubik" w:eastAsia="Rubik" w:hAnsi="Rubik" w:cs="Rubik"/>
          <w:i/>
          <w:iCs/>
          <w:color w:val="222222"/>
          <w:sz w:val="22"/>
          <w:szCs w:val="22"/>
        </w:rPr>
        <w:t xml:space="preserve"> </w:t>
      </w:r>
      <w:r>
        <w:rPr>
          <w:rFonts w:ascii="Rubik" w:eastAsia="Rubik" w:hAnsi="Rubik" w:cs="Rubik"/>
          <w:i/>
          <w:iCs/>
          <w:color w:val="222222"/>
          <w:sz w:val="22"/>
          <w:szCs w:val="22"/>
        </w:rPr>
        <w:t>Il compito dell’Università è generare progresso condiviso, aprendosi al contesto internazionale e al territorio, al fianco delle imprese e dei cittadini, per tutelare il nostro bene più prezioso: il benessere. L’augurio è che il nuovo anno accademico sia un anno di impegno, scoperta e nuove opportunità per tutta la comunità.”</w:t>
      </w:r>
    </w:p>
    <w:p w14:paraId="1B498633" w14:textId="77777777" w:rsidR="00993054" w:rsidRDefault="00993054">
      <w:pPr>
        <w:jc w:val="both"/>
        <w:rPr>
          <w:rFonts w:ascii="Rubik" w:eastAsia="Rubik" w:hAnsi="Rubik" w:cs="Rubik"/>
          <w:sz w:val="22"/>
          <w:szCs w:val="22"/>
          <w:highlight w:val="yellow"/>
        </w:rPr>
      </w:pPr>
    </w:p>
    <w:p w14:paraId="6EAE0DB8" w14:textId="77777777" w:rsidR="00993054" w:rsidRDefault="00000000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>
        <w:rPr>
          <w:rFonts w:ascii="Rubik" w:eastAsia="Rubik" w:hAnsi="Rubik" w:cs="Rubik"/>
          <w:b/>
          <w:bCs/>
          <w:sz w:val="22"/>
          <w:szCs w:val="22"/>
        </w:rPr>
        <w:t>Alessandra Gallone</w:t>
      </w:r>
      <w:r>
        <w:rPr>
          <w:rFonts w:ascii="Rubik" w:eastAsia="Rubik" w:hAnsi="Rubik" w:cs="Rubik"/>
          <w:sz w:val="22"/>
          <w:szCs w:val="22"/>
        </w:rPr>
        <w:t xml:space="preserve">, consigliera del ministro dell’Università e della Ricerca Anna Maria Bernini: </w:t>
      </w:r>
      <w:r>
        <w:rPr>
          <w:rFonts w:ascii="Rubik" w:eastAsia="Rubik" w:hAnsi="Rubik" w:cs="Rubik"/>
          <w:i/>
          <w:iCs/>
          <w:sz w:val="22"/>
          <w:szCs w:val="22"/>
        </w:rPr>
        <w:t>“Portare il saluto del Ministro Anna Maria Bernini all’Università di Bergamo, la mia Università, è stato un grandissimo piacere. Oggi abbiamo ricordato che questo è davvero il tempo delle scelte: un tempo in cui università, ricerca, AFAM, imprese, sanità, pubblica amministrazione e territorio devono lavorare insieme per costruire un nuovo umanesimo capace di affrontare le sfide tecnologiche e sociali che abbiamo davanti. Il Ministro Bernini sta traducendo questa visione in azioni concrete: un FFO ai massimi storici, la conferma delle risorse per il diritto allo studio che permette a oltre il 40% degli studenti italiani – e bergamaschi – di essere esenti dalle tasse, investimenti per giovani ricercatori e per la continuità di Centri Nazionali, Partenariati e Piani Complementari, fino alla piena valorizzazione dell’AFAM come terzo pilastro della conoscenza. Bergamo sta diventando sempre più una città universitaria, con un ecosistema forte fatto di cultura, innovazione, sport e comunità. Agli studenti ho rivolto il messaggio più importante: non c’è felicità senza libertà e non c’è libertà senza coraggio. La formazione è la vera rivoluzione del Paese, e noi continueremo a sostenerla con determinazione.”</w:t>
      </w:r>
    </w:p>
    <w:p w14:paraId="265138B7" w14:textId="77777777" w:rsidR="00993054" w:rsidRDefault="00993054">
      <w:pPr>
        <w:jc w:val="both"/>
        <w:rPr>
          <w:rFonts w:ascii="Rubik" w:eastAsia="Rubik" w:hAnsi="Rubik" w:cs="Rubik"/>
          <w:sz w:val="22"/>
          <w:szCs w:val="22"/>
          <w:highlight w:val="yellow"/>
        </w:rPr>
      </w:pPr>
    </w:p>
    <w:sectPr w:rsidR="00993054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86DD5" w14:textId="77777777" w:rsidR="00063B0A" w:rsidRDefault="00063B0A">
      <w:r>
        <w:separator/>
      </w:r>
    </w:p>
  </w:endnote>
  <w:endnote w:type="continuationSeparator" w:id="0">
    <w:p w14:paraId="73B9FFC3" w14:textId="77777777" w:rsidR="00063B0A" w:rsidRDefault="00063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D92632-E550-E642-8EB9-49FCB2F1120B}"/>
    <w:embedBold r:id="rId2" w:fontKey="{B9B46CB3-D6EC-3142-B562-2CE5D2178BFE}"/>
    <w:embedItalic r:id="rId3" w:fontKey="{5D47D8F3-0191-E248-B65A-CFFDB48423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261687-BEB0-5745-87F3-84D56E1EA647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5E03012-46B9-CF4B-870B-66893F90F5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28F03A4-85C6-9B42-B466-2E7C93778833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8" w:fontKey="{91A5AF7B-FB90-B84F-98B6-82A097E3FAFA}"/>
    <w:embedBold r:id="rId9" w:fontKey="{CE6B0676-9F3A-8D4E-B301-EF2AD56C0A45}"/>
    <w:embedItalic r:id="rId10" w:fontKey="{59BAFFFF-5C7F-3D4D-9F3B-FE8C99AE1062}"/>
    <w:embedBoldItalic r:id="rId11" w:fontKey="{2216E22B-6BEC-E240-87D3-66908A5FBE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232DA20-90DD-9045-95AA-3B40063DD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1C8A4" w14:textId="77777777" w:rsidR="00063B0A" w:rsidRDefault="00063B0A">
      <w:r>
        <w:separator/>
      </w:r>
    </w:p>
  </w:footnote>
  <w:footnote w:type="continuationSeparator" w:id="0">
    <w:p w14:paraId="2728CFFF" w14:textId="77777777" w:rsidR="00063B0A" w:rsidRDefault="00063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63B0A">
      <w:rPr>
        <w:rFonts w:ascii="Calibri" w:eastAsia="Calibri" w:hAnsi="Calibri" w:cs="Calibri"/>
        <w:color w:val="000000"/>
      </w:rPr>
      <w:pict w14:anchorId="0F2A86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063B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3DE4D7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63B0A">
      <w:rPr>
        <w:rFonts w:ascii="Calibri" w:eastAsia="Calibri" w:hAnsi="Calibri" w:cs="Calibri"/>
        <w:color w:val="000000"/>
      </w:rPr>
      <w:pict w14:anchorId="4CE16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63B0A"/>
    <w:rsid w:val="00581F60"/>
    <w:rsid w:val="006316F8"/>
    <w:rsid w:val="0099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1506</Words>
  <Characters>8589</Characters>
  <Application>Microsoft Office Word</Application>
  <DocSecurity>0</DocSecurity>
  <Lines>71</Lines>
  <Paragraphs>20</Paragraphs>
  <ScaleCrop>false</ScaleCrop>
  <Company/>
  <LinksUpToDate>false</LinksUpToDate>
  <CharactersWithSpaces>10075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2</cp:revision>
  <dcterms:created xsi:type="dcterms:W3CDTF">2025-10-23T13:03:00Z</dcterms:created>
  <dcterms:modified xsi:type="dcterms:W3CDTF">2025-11-26T14:36:00Z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