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4B8E" w14:textId="77777777" w:rsidR="000B35F1" w:rsidRDefault="000B35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7C9576D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ubik" w:eastAsia="Rubik" w:hAnsi="Rubik" w:cs="Rubik"/>
          <w:color w:val="000000"/>
          <w:sz w:val="22"/>
          <w:szCs w:val="22"/>
          <w:u w:val="single"/>
        </w:rPr>
      </w:pPr>
      <w:r>
        <w:rPr>
          <w:rFonts w:ascii="Rubik" w:eastAsia="Rubik" w:hAnsi="Rubik" w:cs="Rubik"/>
          <w:color w:val="000000"/>
          <w:sz w:val="22"/>
          <w:szCs w:val="22"/>
          <w:u w:val="single"/>
        </w:rPr>
        <w:t>COMUNICATO STAMPA</w:t>
      </w:r>
    </w:p>
    <w:p w14:paraId="322BE8C9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b/>
          <w:bCs/>
          <w:color w:val="000000"/>
        </w:rPr>
      </w:pPr>
    </w:p>
    <w:p w14:paraId="598E27FB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" w:eastAsia="Rubik" w:hAnsi="Rubik" w:cs="Rubik"/>
          <w:b/>
          <w:bCs/>
          <w:color w:val="000000"/>
          <w:sz w:val="26"/>
          <w:szCs w:val="26"/>
        </w:rPr>
      </w:pPr>
      <w:r>
        <w:rPr>
          <w:rFonts w:ascii="Rubik" w:eastAsia="Rubik" w:hAnsi="Rubik" w:cs="Rubik"/>
          <w:b/>
          <w:bCs/>
          <w:color w:val="000000"/>
          <w:sz w:val="26"/>
          <w:szCs w:val="26"/>
        </w:rPr>
        <w:t>PRESENTATO IL PRIMO BILANCIO DI SOSTENIBILITÀ</w:t>
      </w:r>
      <w:r>
        <w:rPr>
          <w:rFonts w:ascii="Rubik" w:eastAsia="Rubik" w:hAnsi="Rubik" w:cs="Rubik"/>
          <w:b/>
          <w:bCs/>
          <w:color w:val="000000"/>
          <w:sz w:val="26"/>
          <w:szCs w:val="26"/>
        </w:rPr>
        <w:br/>
        <w:t>DELL’UNIVERSITÀ DI BERGAMO</w:t>
      </w:r>
    </w:p>
    <w:p w14:paraId="3DA0B488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" w:eastAsia="Rubik" w:hAnsi="Rubik" w:cs="Rubik"/>
          <w:b/>
          <w:bCs/>
          <w:color w:val="000000"/>
        </w:rPr>
      </w:pPr>
    </w:p>
    <w:p w14:paraId="593A91E8" w14:textId="108BA485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" w:eastAsia="Rubik" w:hAnsi="Rubik" w:cs="Rubik"/>
          <w:b/>
          <w:bCs/>
          <w:color w:val="000000"/>
        </w:rPr>
      </w:pPr>
      <w:r>
        <w:rPr>
          <w:rFonts w:ascii="Rubik" w:eastAsia="Rubik" w:hAnsi="Rubik" w:cs="Rubik"/>
          <w:b/>
          <w:bCs/>
          <w:color w:val="000000"/>
        </w:rPr>
        <w:t>DIDATTICA, RICERCA, PERSONE E ATTENZIONE ALL’IMPATTO AMBIENTALE</w:t>
      </w:r>
      <w:r w:rsidR="00AA7F83">
        <w:rPr>
          <w:rFonts w:ascii="Rubik" w:eastAsia="Rubik" w:hAnsi="Rubik" w:cs="Rubik"/>
          <w:b/>
          <w:bCs/>
          <w:color w:val="000000"/>
        </w:rPr>
        <w:t xml:space="preserve"> E ALLA RESPONSABILIT</w:t>
      </w:r>
      <w:r w:rsidR="003D43FE">
        <w:rPr>
          <w:rFonts w:ascii="Rubik" w:eastAsia="Rubik" w:hAnsi="Rubik" w:cs="Rubik"/>
          <w:b/>
          <w:bCs/>
          <w:color w:val="000000"/>
        </w:rPr>
        <w:t>À</w:t>
      </w:r>
      <w:r w:rsidR="00AA7F83">
        <w:rPr>
          <w:rFonts w:ascii="Rubik" w:eastAsia="Rubik" w:hAnsi="Rubik" w:cs="Rubik"/>
          <w:b/>
          <w:bCs/>
          <w:color w:val="000000"/>
        </w:rPr>
        <w:t xml:space="preserve"> SOCIALE DELL’ATENEO</w:t>
      </w:r>
    </w:p>
    <w:p w14:paraId="36FC5C94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" w:eastAsia="Rubik" w:hAnsi="Rubik" w:cs="Rubik"/>
          <w:b/>
          <w:bCs/>
          <w:color w:val="000000"/>
        </w:rPr>
      </w:pPr>
    </w:p>
    <w:p w14:paraId="0A7877CE" w14:textId="1D572E8B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i/>
          <w:iCs/>
          <w:color w:val="000000"/>
          <w:sz w:val="22"/>
          <w:szCs w:val="22"/>
        </w:rPr>
        <w:t>Bergamo, 16 dicembre 2025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– 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>“</w:t>
      </w:r>
      <w:r>
        <w:rPr>
          <w:rFonts w:ascii="Rubik" w:eastAsia="Rubik" w:hAnsi="Rubik" w:cs="Rubik"/>
          <w:i/>
          <w:iCs/>
          <w:sz w:val="22"/>
          <w:szCs w:val="22"/>
        </w:rPr>
        <w:t>I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>l primo Bilancio di Sostenibilità dell’Università degli studi di Bergamo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 è 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>un passo significativo nella crescita strategica e culturale del nostro Ateneo. Con la sua pubblicazione manifestiamo il nostro impegno a misurare, valutare e raccontare in modo trasparente il contributo dell’Università allo sviluppo sostenibile della nostra comunità, del territorio e della società in generale.”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Con queste parole il Rettore prof.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Sergio Cavalieri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ha introdotto la presentazione del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 xml:space="preserve">primo </w:t>
      </w:r>
      <w:hyperlink r:id="rId7" w:history="1">
        <w:r w:rsidR="000B35F1" w:rsidRPr="005E1F91">
          <w:rPr>
            <w:rStyle w:val="Collegamentoipertestuale"/>
            <w:rFonts w:ascii="Rubik" w:eastAsia="Rubik" w:hAnsi="Rubik" w:cs="Rubik"/>
            <w:b/>
            <w:bCs/>
            <w:sz w:val="22"/>
            <w:szCs w:val="22"/>
          </w:rPr>
          <w:t>Bilancio di Sostenibilità</w:t>
        </w:r>
      </w:hyperlink>
      <w:r>
        <w:rPr>
          <w:rFonts w:ascii="Rubik" w:eastAsia="Rubik" w:hAnsi="Rubik" w:cs="Rubik"/>
          <w:b/>
          <w:bCs/>
          <w:color w:val="000000"/>
          <w:sz w:val="22"/>
          <w:szCs w:val="22"/>
        </w:rPr>
        <w:t xml:space="preserve"> dell’Ateneo orobico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riferito all’anno 2024 e sviluppato secondo lo Standard RUS–GBS, tenutasi nella mattina di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martedì 16 dicembre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presso l’Aula Galeotti della sede di via dei Caniana alla presenza di rappresentanti della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Rete delle Università per lo Sviluppo Sostenibile RUS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e dei principali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stakeholder del territorio</w:t>
      </w:r>
      <w:r w:rsidR="00CF7FF7">
        <w:rPr>
          <w:rFonts w:ascii="Rubik" w:eastAsia="Rubik" w:hAnsi="Rubik" w:cs="Rubik"/>
          <w:color w:val="000000"/>
          <w:sz w:val="22"/>
          <w:szCs w:val="22"/>
        </w:rPr>
        <w:t xml:space="preserve"> (</w:t>
      </w:r>
      <w:r>
        <w:rPr>
          <w:rFonts w:ascii="Rubik" w:eastAsia="Rubik" w:hAnsi="Rubik" w:cs="Rubik"/>
          <w:color w:val="000000"/>
          <w:sz w:val="22"/>
          <w:szCs w:val="22"/>
        </w:rPr>
        <w:t>Comune di Bergamo, Provincia di Bergamo, Camera di Commercio, Sacbo, Uniacque).</w:t>
      </w:r>
    </w:p>
    <w:p w14:paraId="4A98CBBD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62CCEA73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Il documento, che raccoglie e sistematizza per la prima volta dati quantitativi e qualitativi riguardanti le tre dimensioni della sostenibilità – sociale, ambientale ed economica – integrandoli con gli indicatori del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Piano Strategico di Ateneo 2023-2027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è espressione della centralità che la sostenibilità riveste per l’Università: come ha ricordato il Rettore Cavalieri, 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>“Per UniBg la sostenibilità non è un elemento aggiuntivo né una formalità, ma è parte integrante della nostra missione e dei nostri valori. Il Bilancio di Sostenibilità racconta ciò che abbiamo fatto e indica ciò che resta da costruire, per rafforzare i processi interni, il monitoraggio e la definizione di buone pratiche che orienteranno le scelte future. L’obiettivo è renderlo un documento annuale, approvato dagli Organi di Ateneo, al pari del Bilancio consuntivo.”</w:t>
      </w:r>
    </w:p>
    <w:p w14:paraId="6A4B20FB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i/>
          <w:iCs/>
          <w:color w:val="000000"/>
          <w:sz w:val="22"/>
          <w:szCs w:val="22"/>
        </w:rPr>
      </w:pPr>
    </w:p>
    <w:p w14:paraId="5F3D29E7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i/>
          <w:iCs/>
          <w:color w:val="000000"/>
          <w:sz w:val="22"/>
          <w:szCs w:val="22"/>
        </w:rPr>
      </w:pPr>
      <w:r>
        <w:rPr>
          <w:rFonts w:ascii="Rubik" w:eastAsia="Rubik" w:hAnsi="Rubik" w:cs="Rubik"/>
          <w:i/>
          <w:iCs/>
          <w:color w:val="000000"/>
          <w:sz w:val="22"/>
          <w:szCs w:val="22"/>
        </w:rPr>
        <w:t xml:space="preserve">“Il Bilancio di Sostenibilità – 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ha aggiunto la prof.ssa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Annalisa Cristini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 xml:space="preserve">, </w:t>
      </w:r>
      <w:r>
        <w:rPr>
          <w:rFonts w:ascii="Rubik" w:eastAsia="Rubik" w:hAnsi="Rubik" w:cs="Rubik"/>
          <w:color w:val="000000"/>
          <w:sz w:val="22"/>
          <w:szCs w:val="22"/>
        </w:rPr>
        <w:t>Prorettrice al Welfare e allo Sviluppo Sostenibile</w:t>
      </w:r>
      <w:r>
        <w:rPr>
          <w:rFonts w:ascii="Rubik" w:eastAsia="Rubik" w:hAnsi="Rubik" w:cs="Rubik"/>
          <w:i/>
          <w:iCs/>
          <w:color w:val="000000"/>
          <w:sz w:val="22"/>
          <w:szCs w:val="22"/>
        </w:rPr>
        <w:t xml:space="preserve"> – rappresenta una tappa fondamentale dell’impegno concreto dell’Università verso gli obiettivi dell’agenda ONU 2030; segue di qualche mese la pubblicazione della Carta dei Valori e degli Impegni per la Sostenibilità, lungo un processo di maturazione verso una transizione effettiva e condivisa; offre un’immagine inedita dell’Università attraverso le lenti della sostenibilità. Un risultato che, concretizzandosi, ha esso stesso prodotto maggiore consapevolezza e ispirato tutta la comunità universitaria.”</w:t>
      </w:r>
    </w:p>
    <w:p w14:paraId="487D7243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i/>
          <w:iCs/>
          <w:color w:val="000000"/>
          <w:sz w:val="22"/>
          <w:szCs w:val="22"/>
        </w:rPr>
      </w:pPr>
    </w:p>
    <w:p w14:paraId="0F954B09" w14:textId="77777777" w:rsidR="000B35F1" w:rsidRDefault="00000000">
      <w:pPr>
        <w:pStyle w:val="Titolo3"/>
        <w:spacing w:before="0" w:after="0"/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t>Premessa</w:t>
      </w:r>
    </w:p>
    <w:p w14:paraId="6D6C51D0" w14:textId="77777777" w:rsidR="000B35F1" w:rsidRDefault="000B35F1">
      <w:pPr>
        <w:rPr>
          <w:rFonts w:ascii="Rubik" w:eastAsia="Rubik" w:hAnsi="Rubik" w:cs="Rubik"/>
          <w:sz w:val="22"/>
          <w:szCs w:val="22"/>
        </w:rPr>
      </w:pPr>
    </w:p>
    <w:p w14:paraId="6F8B8595" w14:textId="77777777" w:rsidR="000B35F1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Il Bilancio di Sostenibilità si configura come il primo passo di un percorso di apprendimento organizzativo e di miglioramento continuo, orientato a integrare in modo sempre più strutturato i principi della sostenibilità nelle strategie, nelle attività e nei processi decisionali dell’Ateneo. Il processo di rendicontazione adottato mira a garantire </w:t>
      </w:r>
      <w:r>
        <w:rPr>
          <w:rFonts w:ascii="Rubik" w:eastAsia="Rubik" w:hAnsi="Rubik" w:cs="Rubik"/>
          <w:b/>
          <w:bCs/>
          <w:sz w:val="22"/>
          <w:szCs w:val="22"/>
        </w:rPr>
        <w:t>trasparenza, responsabilità e partecipazione</w:t>
      </w:r>
      <w:r>
        <w:rPr>
          <w:rFonts w:ascii="Rubik" w:eastAsia="Rubik" w:hAnsi="Rubik" w:cs="Rubik"/>
          <w:sz w:val="22"/>
          <w:szCs w:val="22"/>
        </w:rPr>
        <w:t>, offrendo a studenti, personale, partner istituzionali e comunità locali una rappresentazione chiara e documentata dei risultati raggiunti e delle aree su cui intervenire.</w:t>
      </w:r>
    </w:p>
    <w:p w14:paraId="56908A0E" w14:textId="77777777" w:rsidR="000B35F1" w:rsidRDefault="000B35F1">
      <w:pPr>
        <w:jc w:val="both"/>
        <w:rPr>
          <w:rFonts w:ascii="Rubik" w:eastAsia="Rubik" w:hAnsi="Rubik" w:cs="Rubik"/>
          <w:sz w:val="22"/>
          <w:szCs w:val="22"/>
        </w:rPr>
      </w:pPr>
    </w:p>
    <w:p w14:paraId="020D2EB4" w14:textId="77777777" w:rsidR="000B35F1" w:rsidRDefault="00000000">
      <w:pPr>
        <w:jc w:val="both"/>
        <w:rPr>
          <w:rFonts w:ascii="Rubik" w:eastAsia="Rubik" w:hAnsi="Rubik" w:cs="Rubik"/>
          <w:b/>
          <w:bCs/>
          <w:i/>
          <w:iCs/>
          <w:sz w:val="22"/>
          <w:szCs w:val="22"/>
        </w:rPr>
      </w:pPr>
      <w:r>
        <w:rPr>
          <w:rFonts w:ascii="Rubik" w:eastAsia="Rubik" w:hAnsi="Rubik" w:cs="Rubik"/>
          <w:b/>
          <w:bCs/>
          <w:i/>
          <w:iCs/>
          <w:sz w:val="22"/>
          <w:szCs w:val="22"/>
        </w:rPr>
        <w:t>Didattica e popolazione studentesca</w:t>
      </w:r>
    </w:p>
    <w:p w14:paraId="4EC56D48" w14:textId="77777777" w:rsidR="000B35F1" w:rsidRDefault="000B35F1">
      <w:pPr>
        <w:jc w:val="both"/>
        <w:rPr>
          <w:rFonts w:ascii="Rubik" w:eastAsia="Rubik" w:hAnsi="Rubik" w:cs="Rubik"/>
          <w:b/>
          <w:bCs/>
          <w:i/>
          <w:iCs/>
          <w:sz w:val="22"/>
          <w:szCs w:val="22"/>
        </w:rPr>
      </w:pPr>
    </w:p>
    <w:p w14:paraId="06FE3E5A" w14:textId="77777777" w:rsidR="000B35F1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Nel 2024 l’Ateneo ha offerto </w:t>
      </w:r>
      <w:r>
        <w:rPr>
          <w:rFonts w:ascii="Rubik" w:eastAsia="Rubik" w:hAnsi="Rubik" w:cs="Rubik"/>
          <w:b/>
          <w:bCs/>
          <w:sz w:val="22"/>
          <w:szCs w:val="22"/>
        </w:rPr>
        <w:t>53 corsi di laurea</w:t>
      </w:r>
      <w:r>
        <w:rPr>
          <w:rFonts w:ascii="Rubik" w:eastAsia="Rubik" w:hAnsi="Rubik" w:cs="Rubik"/>
          <w:sz w:val="22"/>
          <w:szCs w:val="22"/>
        </w:rPr>
        <w:t xml:space="preserve"> (17 triennali, 32 magistrali, 4 a ciclo unico), </w:t>
      </w:r>
      <w:sdt>
        <w:sdtPr>
          <w:tag w:val="goog_rdk_0"/>
          <w:id w:val="269085927"/>
        </w:sdtPr>
        <w:sdtContent/>
      </w:sdt>
      <w:sdt>
        <w:sdtPr>
          <w:tag w:val="goog_rdk_1"/>
          <w:id w:val="-669108534"/>
        </w:sdtPr>
        <w:sdtContent/>
      </w:sdt>
      <w:r>
        <w:rPr>
          <w:rFonts w:ascii="Rubik" w:eastAsia="Rubik" w:hAnsi="Rubik" w:cs="Rubik"/>
          <w:b/>
          <w:bCs/>
          <w:sz w:val="22"/>
          <w:szCs w:val="22"/>
        </w:rPr>
        <w:t>10 programmi di dottorato</w:t>
      </w:r>
      <w:r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b/>
          <w:bCs/>
          <w:sz w:val="22"/>
          <w:szCs w:val="22"/>
        </w:rPr>
        <w:t>17 master, 8 corsi di perfezionamento e 8 corsi di alta formazione</w:t>
      </w:r>
      <w:r>
        <w:rPr>
          <w:rFonts w:ascii="Rubik" w:eastAsia="Rubik" w:hAnsi="Rubik" w:cs="Rubik"/>
          <w:sz w:val="22"/>
          <w:szCs w:val="22"/>
        </w:rPr>
        <w:t xml:space="preserve">. In media il 53% degli insegnamenti tratta almeno un SDG (Sustainable Development Goals) e </w:t>
      </w:r>
      <w:r>
        <w:rPr>
          <w:rFonts w:ascii="Rubik" w:eastAsia="Rubik" w:hAnsi="Rubik" w:cs="Rubik"/>
          <w:b/>
          <w:bCs/>
          <w:sz w:val="22"/>
          <w:szCs w:val="22"/>
        </w:rPr>
        <w:t>51</w:t>
      </w:r>
      <w:r>
        <w:rPr>
          <w:rFonts w:ascii="Rubik" w:eastAsia="Rubik" w:hAnsi="Rubik" w:cs="Rubik"/>
          <w:sz w:val="22"/>
          <w:szCs w:val="22"/>
        </w:rPr>
        <w:t xml:space="preserve"> insegnamenti riportano il concetto di “sostenibilità”, nelle varie declinazioni linguistiche, nella loro denominazione, in crescita rispetto ai 44 del 2022.</w:t>
      </w:r>
    </w:p>
    <w:p w14:paraId="62AAA8FB" w14:textId="10C62458" w:rsidR="000B35F1" w:rsidRDefault="00000000">
      <w:pPr>
        <w:jc w:val="both"/>
        <w:rPr>
          <w:rFonts w:ascii="Rubik" w:eastAsia="Rubik" w:hAnsi="Rubik" w:cs="Rubik"/>
          <w:sz w:val="22"/>
          <w:szCs w:val="22"/>
        </w:rPr>
      </w:pPr>
      <w:sdt>
        <w:sdtPr>
          <w:tag w:val="goog_rdk_2"/>
          <w:id w:val="-1753610903"/>
        </w:sdtPr>
        <w:sdtContent/>
      </w:sdt>
      <w:sdt>
        <w:sdtPr>
          <w:tag w:val="goog_rdk_3"/>
          <w:id w:val="19478339"/>
        </w:sdtPr>
        <w:sdtContent/>
      </w:sdt>
      <w:r>
        <w:rPr>
          <w:rFonts w:ascii="Rubik" w:eastAsia="Rubik" w:hAnsi="Rubik" w:cs="Rubik"/>
          <w:sz w:val="22"/>
          <w:szCs w:val="22"/>
        </w:rPr>
        <w:t xml:space="preserve">La popolazione studentesca complessiva è pari a </w:t>
      </w:r>
      <w:r>
        <w:rPr>
          <w:rFonts w:ascii="Rubik" w:eastAsia="Rubik" w:hAnsi="Rubik" w:cs="Rubik"/>
          <w:b/>
          <w:bCs/>
          <w:sz w:val="22"/>
          <w:szCs w:val="22"/>
        </w:rPr>
        <w:t>19.770 unità</w:t>
      </w:r>
      <w:r>
        <w:rPr>
          <w:rFonts w:ascii="Rubik" w:eastAsia="Rubik" w:hAnsi="Rubik" w:cs="Rubik"/>
          <w:sz w:val="22"/>
          <w:szCs w:val="22"/>
        </w:rPr>
        <w:t xml:space="preserve">, di cui </w:t>
      </w:r>
      <w:r>
        <w:rPr>
          <w:rFonts w:ascii="Rubik" w:eastAsia="Rubik" w:hAnsi="Rubik" w:cs="Rubik"/>
          <w:b/>
          <w:bCs/>
          <w:sz w:val="22"/>
          <w:szCs w:val="22"/>
        </w:rPr>
        <w:t>60,6% donne</w:t>
      </w:r>
      <w:r>
        <w:rPr>
          <w:rFonts w:ascii="Rubik" w:eastAsia="Rubik" w:hAnsi="Rubik" w:cs="Rubik"/>
          <w:sz w:val="22"/>
          <w:szCs w:val="22"/>
        </w:rPr>
        <w:t xml:space="preserve">, con 13.762 iscritti alle LT, 4.483 alle LM e 1.525 alle LMCU. Gli studenti internazionali immatricolati rappresentano il </w:t>
      </w:r>
      <w:r>
        <w:rPr>
          <w:rFonts w:ascii="Rubik" w:eastAsia="Rubik" w:hAnsi="Rubik" w:cs="Rubik"/>
          <w:b/>
          <w:bCs/>
          <w:sz w:val="22"/>
          <w:szCs w:val="22"/>
        </w:rPr>
        <w:t>3,2%</w:t>
      </w:r>
      <w:r>
        <w:rPr>
          <w:rFonts w:ascii="Rubik" w:eastAsia="Rubik" w:hAnsi="Rubik" w:cs="Rubik"/>
          <w:sz w:val="22"/>
          <w:szCs w:val="22"/>
        </w:rPr>
        <w:t xml:space="preserve">, mentre coloro che provengono da un titolo estero sono il </w:t>
      </w:r>
      <w:r>
        <w:rPr>
          <w:rFonts w:ascii="Rubik" w:eastAsia="Rubik" w:hAnsi="Rubik" w:cs="Rubik"/>
          <w:b/>
          <w:bCs/>
          <w:sz w:val="22"/>
          <w:szCs w:val="22"/>
        </w:rPr>
        <w:t>4,3%</w:t>
      </w:r>
      <w:r>
        <w:rPr>
          <w:rFonts w:ascii="Rubik" w:eastAsia="Rubik" w:hAnsi="Rubik" w:cs="Rubik"/>
          <w:sz w:val="22"/>
          <w:szCs w:val="22"/>
        </w:rPr>
        <w:t xml:space="preserve">. Le mobilità incoming sono state </w:t>
      </w:r>
      <w:r>
        <w:rPr>
          <w:rFonts w:ascii="Rubik" w:eastAsia="Rubik" w:hAnsi="Rubik" w:cs="Rubik"/>
          <w:b/>
          <w:bCs/>
          <w:sz w:val="22"/>
          <w:szCs w:val="22"/>
        </w:rPr>
        <w:t>238</w:t>
      </w:r>
      <w:r>
        <w:rPr>
          <w:rFonts w:ascii="Rubik" w:eastAsia="Rubik" w:hAnsi="Rubik" w:cs="Rubik"/>
          <w:sz w:val="22"/>
          <w:szCs w:val="22"/>
        </w:rPr>
        <w:t>. Sono</w:t>
      </w:r>
      <w:r>
        <w:rPr>
          <w:rFonts w:ascii="Rubik" w:eastAsia="Rubik" w:hAnsi="Rubik" w:cs="Rubik"/>
          <w:b/>
          <w:bCs/>
          <w:sz w:val="22"/>
          <w:szCs w:val="22"/>
        </w:rPr>
        <w:t xml:space="preserve"> 286</w:t>
      </w:r>
      <w:r>
        <w:rPr>
          <w:rFonts w:ascii="Rubik" w:eastAsia="Rubik" w:hAnsi="Rubik" w:cs="Rubik"/>
          <w:sz w:val="22"/>
          <w:szCs w:val="22"/>
        </w:rPr>
        <w:t xml:space="preserve"> gli iscritti ai corsi </w:t>
      </w:r>
      <w:r w:rsidR="00A50C54">
        <w:rPr>
          <w:rFonts w:ascii="Rubik" w:eastAsia="Rubik" w:hAnsi="Rubik" w:cs="Rubik"/>
          <w:sz w:val="22"/>
          <w:szCs w:val="22"/>
        </w:rPr>
        <w:t>post-laurea</w:t>
      </w:r>
      <w:r w:rsidRPr="00992288">
        <w:rPr>
          <w:rFonts w:ascii="Rubik" w:eastAsia="Rubik" w:hAnsi="Rubik" w:cs="Rubik"/>
          <w:sz w:val="22"/>
          <w:szCs w:val="22"/>
        </w:rPr>
        <w:t xml:space="preserve">, </w:t>
      </w:r>
      <w:r w:rsidR="00992288" w:rsidRPr="00992288">
        <w:rPr>
          <w:rFonts w:ascii="Rubik" w:eastAsia="Rubik" w:hAnsi="Rubik" w:cs="Rubik"/>
          <w:b/>
          <w:bCs/>
          <w:sz w:val="22"/>
          <w:szCs w:val="22"/>
        </w:rPr>
        <w:t>216</w:t>
      </w:r>
      <w:r w:rsidR="00A50C54" w:rsidRPr="00992288">
        <w:rPr>
          <w:rFonts w:ascii="Rubik" w:eastAsia="Rubik" w:hAnsi="Rubik" w:cs="Rubik"/>
          <w:b/>
          <w:bCs/>
          <w:sz w:val="22"/>
          <w:szCs w:val="22"/>
        </w:rPr>
        <w:t xml:space="preserve"> </w:t>
      </w:r>
      <w:r w:rsidRPr="00992288">
        <w:rPr>
          <w:rFonts w:ascii="Rubik" w:eastAsia="Rubik" w:hAnsi="Rubik" w:cs="Rubik"/>
          <w:sz w:val="22"/>
          <w:szCs w:val="22"/>
        </w:rPr>
        <w:t xml:space="preserve">ai dottorati e </w:t>
      </w:r>
      <w:r w:rsidR="00992288" w:rsidRPr="00992288">
        <w:rPr>
          <w:rFonts w:ascii="Rubik" w:eastAsia="Rubik" w:hAnsi="Rubik" w:cs="Rubik"/>
          <w:sz w:val="22"/>
          <w:szCs w:val="22"/>
        </w:rPr>
        <w:t>18 alla</w:t>
      </w:r>
      <w:r w:rsidRPr="00992288">
        <w:rPr>
          <w:rFonts w:ascii="Rubik" w:eastAsia="Rubik" w:hAnsi="Rubik" w:cs="Rubik"/>
          <w:sz w:val="22"/>
          <w:szCs w:val="22"/>
        </w:rPr>
        <w:t xml:space="preserve"> </w:t>
      </w:r>
      <w:r w:rsidR="00992288" w:rsidRPr="00992288">
        <w:rPr>
          <w:rFonts w:ascii="Rubik" w:eastAsia="Rubik" w:hAnsi="Rubik" w:cs="Rubik"/>
          <w:sz w:val="22"/>
          <w:szCs w:val="22"/>
        </w:rPr>
        <w:t>S</w:t>
      </w:r>
      <w:r w:rsidRPr="00992288">
        <w:rPr>
          <w:rFonts w:ascii="Rubik" w:eastAsia="Rubik" w:hAnsi="Rubik" w:cs="Rubik"/>
          <w:sz w:val="22"/>
          <w:szCs w:val="22"/>
        </w:rPr>
        <w:t>cuol</w:t>
      </w:r>
      <w:r w:rsidR="00992288" w:rsidRPr="00992288">
        <w:rPr>
          <w:rFonts w:ascii="Rubik" w:eastAsia="Rubik" w:hAnsi="Rubik" w:cs="Rubik"/>
          <w:sz w:val="22"/>
          <w:szCs w:val="22"/>
        </w:rPr>
        <w:t>a</w:t>
      </w:r>
      <w:r w:rsidRPr="00992288">
        <w:rPr>
          <w:rFonts w:ascii="Rubik" w:eastAsia="Rubik" w:hAnsi="Rubik" w:cs="Rubik"/>
          <w:sz w:val="22"/>
          <w:szCs w:val="22"/>
        </w:rPr>
        <w:t xml:space="preserve"> di specializzazione</w:t>
      </w:r>
      <w:r w:rsidR="00992288" w:rsidRPr="00992288">
        <w:rPr>
          <w:rFonts w:ascii="Rubik" w:eastAsia="Rubik" w:hAnsi="Rubik" w:cs="Rubik"/>
          <w:sz w:val="22"/>
          <w:szCs w:val="22"/>
        </w:rPr>
        <w:t xml:space="preserve"> in Psicologia della Salute</w:t>
      </w:r>
      <w:r w:rsidRPr="00992288">
        <w:rPr>
          <w:rFonts w:ascii="Rubik" w:eastAsia="Rubik" w:hAnsi="Rubik" w:cs="Rubik"/>
          <w:sz w:val="22"/>
          <w:szCs w:val="22"/>
        </w:rPr>
        <w:t>.</w:t>
      </w:r>
    </w:p>
    <w:p w14:paraId="48219E6B" w14:textId="77777777" w:rsidR="000B35F1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Il tasso di occupazione a un anno dalla laurea è pari a </w:t>
      </w:r>
      <w:r>
        <w:rPr>
          <w:rFonts w:ascii="Rubik" w:eastAsia="Rubik" w:hAnsi="Rubik" w:cs="Rubik"/>
          <w:b/>
          <w:bCs/>
          <w:sz w:val="22"/>
          <w:szCs w:val="22"/>
        </w:rPr>
        <w:t>84,2%</w:t>
      </w:r>
      <w:r>
        <w:rPr>
          <w:rFonts w:ascii="Rubik" w:eastAsia="Rubik" w:hAnsi="Rubik" w:cs="Rubik"/>
          <w:sz w:val="22"/>
          <w:szCs w:val="22"/>
        </w:rPr>
        <w:t xml:space="preserve"> per LM e </w:t>
      </w:r>
      <w:r>
        <w:rPr>
          <w:rFonts w:ascii="Rubik" w:eastAsia="Rubik" w:hAnsi="Rubik" w:cs="Rubik"/>
          <w:b/>
          <w:bCs/>
          <w:sz w:val="22"/>
          <w:szCs w:val="22"/>
        </w:rPr>
        <w:t>87,7%</w:t>
      </w:r>
      <w:r>
        <w:rPr>
          <w:rFonts w:ascii="Rubik" w:eastAsia="Rubik" w:hAnsi="Rubik" w:cs="Rubik"/>
          <w:sz w:val="22"/>
          <w:szCs w:val="22"/>
        </w:rPr>
        <w:t xml:space="preserve"> per LMCU; per le LT il tasso è </w:t>
      </w:r>
      <w:r>
        <w:rPr>
          <w:rFonts w:ascii="Rubik" w:eastAsia="Rubik" w:hAnsi="Rubik" w:cs="Rubik"/>
          <w:b/>
          <w:bCs/>
          <w:sz w:val="22"/>
          <w:szCs w:val="22"/>
        </w:rPr>
        <w:t>54,5%</w:t>
      </w:r>
      <w:r>
        <w:rPr>
          <w:rFonts w:ascii="Rubik" w:eastAsia="Rubik" w:hAnsi="Rubik" w:cs="Rubik"/>
          <w:sz w:val="22"/>
          <w:szCs w:val="22"/>
        </w:rPr>
        <w:t>, dato che una quota significativa dei laureati triennali si iscrive alla laurea magistrale.</w:t>
      </w:r>
    </w:p>
    <w:p w14:paraId="4CC744AA" w14:textId="77777777" w:rsidR="000B35F1" w:rsidRDefault="000B35F1">
      <w:pPr>
        <w:jc w:val="both"/>
        <w:rPr>
          <w:rFonts w:ascii="Rubik" w:eastAsia="Rubik" w:hAnsi="Rubik" w:cs="Rubik"/>
          <w:sz w:val="22"/>
          <w:szCs w:val="22"/>
        </w:rPr>
      </w:pPr>
    </w:p>
    <w:p w14:paraId="13A206C7" w14:textId="77777777" w:rsidR="000B35F1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noProof/>
          <w:sz w:val="22"/>
          <w:szCs w:val="22"/>
        </w:rPr>
        <w:drawing>
          <wp:inline distT="114300" distB="114300" distL="114300" distR="114300" wp14:anchorId="0DC47540" wp14:editId="44D2BF83">
            <wp:extent cx="5939480" cy="3187700"/>
            <wp:effectExtent l="0" t="0" r="0" b="0"/>
            <wp:docPr id="2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AABAD" w14:textId="77777777" w:rsidR="000B35F1" w:rsidRDefault="000B35F1">
      <w:pPr>
        <w:jc w:val="both"/>
        <w:rPr>
          <w:rFonts w:ascii="Rubik" w:eastAsia="Rubik" w:hAnsi="Rubik" w:cs="Rubik"/>
          <w:sz w:val="22"/>
          <w:szCs w:val="22"/>
        </w:rPr>
      </w:pPr>
    </w:p>
    <w:p w14:paraId="4AC8EC35" w14:textId="77777777" w:rsidR="000B35F1" w:rsidRDefault="00000000">
      <w:pPr>
        <w:pStyle w:val="Titolo3"/>
        <w:spacing w:before="0" w:after="0"/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t>Ricerca e terza missione</w:t>
      </w:r>
    </w:p>
    <w:p w14:paraId="191A775C" w14:textId="77777777" w:rsidR="000B35F1" w:rsidRDefault="000B35F1">
      <w:pPr>
        <w:rPr>
          <w:rFonts w:ascii="Rubik" w:eastAsia="Rubik" w:hAnsi="Rubik" w:cs="Rubik"/>
          <w:sz w:val="22"/>
          <w:szCs w:val="22"/>
        </w:rPr>
      </w:pPr>
    </w:p>
    <w:p w14:paraId="2761D08D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Nel 2024 sono stati attivati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4,48 nuovi progetti di ricerca finanziati pro capite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con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178 assegnisti di ricerca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(+60 rispetto al 2022) e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75 nuovi dottorandi</w:t>
      </w:r>
      <w:r>
        <w:rPr>
          <w:rFonts w:ascii="Rubik" w:eastAsia="Rubik" w:hAnsi="Rubik" w:cs="Rubik"/>
          <w:color w:val="000000"/>
          <w:sz w:val="22"/>
          <w:szCs w:val="22"/>
        </w:rPr>
        <w:t>.</w:t>
      </w:r>
    </w:p>
    <w:p w14:paraId="6E8A79AD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Le pubblicazioni riconducibili ad almeno un SDG hanno raggiunto 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4.562 prodotti (+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81 unità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rispetto al 2022), e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921 sono internazionali</w:t>
      </w:r>
      <w:r>
        <w:rPr>
          <w:rFonts w:ascii="Rubik" w:eastAsia="Rubik" w:hAnsi="Rubik" w:cs="Rubik"/>
          <w:color w:val="000000"/>
          <w:sz w:val="22"/>
          <w:szCs w:val="22"/>
        </w:rPr>
        <w:t>.</w:t>
      </w:r>
    </w:p>
    <w:p w14:paraId="516AD47D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Le attività di public engagement coinvolgono il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56%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del corpo docente.</w:t>
      </w:r>
    </w:p>
    <w:p w14:paraId="0A6695CE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L’Ateneo detiene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2 brevetti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</w:t>
      </w:r>
      <w:sdt>
        <w:sdtPr>
          <w:tag w:val="goog_rdk_4"/>
          <w:id w:val="232079036"/>
        </w:sdtPr>
        <w:sdtContent/>
      </w:sdt>
      <w:sdt>
        <w:sdtPr>
          <w:tag w:val="goog_rdk_5"/>
          <w:id w:val="-2006844341"/>
        </w:sdtPr>
        <w:sdtContent/>
      </w:sdt>
      <w:r>
        <w:rPr>
          <w:rFonts w:ascii="Rubik" w:eastAsia="Rubik" w:hAnsi="Rubik" w:cs="Rubik"/>
          <w:color w:val="000000"/>
          <w:sz w:val="22"/>
          <w:szCs w:val="22"/>
        </w:rPr>
        <w:t>attivi.</w:t>
      </w:r>
    </w:p>
    <w:p w14:paraId="1C8DC3E0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2B5306B3" w14:textId="77777777" w:rsidR="00AA7F83" w:rsidRDefault="00AA7F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4882668A" w14:textId="77777777" w:rsidR="00AA7F83" w:rsidRDefault="00AA7F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05A01928" w14:textId="77777777" w:rsidR="000B35F1" w:rsidRDefault="00000000">
      <w:pPr>
        <w:pStyle w:val="Titolo3"/>
        <w:spacing w:before="0" w:after="0"/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lastRenderedPageBreak/>
        <w:t>Persone e benessere organizzativo</w:t>
      </w:r>
    </w:p>
    <w:p w14:paraId="69F1D085" w14:textId="77777777" w:rsidR="000B35F1" w:rsidRDefault="000B35F1">
      <w:pPr>
        <w:rPr>
          <w:rFonts w:ascii="Rubik" w:eastAsia="Rubik" w:hAnsi="Rubik" w:cs="Rubik"/>
          <w:sz w:val="22"/>
          <w:szCs w:val="22"/>
        </w:rPr>
      </w:pPr>
    </w:p>
    <w:p w14:paraId="7CD978F8" w14:textId="03B18AAC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>Nel 2024 l’Università conta</w:t>
      </w:r>
      <w:r w:rsidR="00AA7F83">
        <w:rPr>
          <w:rFonts w:ascii="Rubik" w:eastAsia="Rubik" w:hAnsi="Rubik" w:cs="Rubik"/>
          <w:color w:val="000000"/>
          <w:sz w:val="22"/>
          <w:szCs w:val="22"/>
        </w:rPr>
        <w:t>va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519 docenti e ricercatori strutturati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341 unità di personale tecnico-amministrativo e bibliotecario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e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178 assegnisti di ricerca</w:t>
      </w:r>
      <w:r>
        <w:rPr>
          <w:rFonts w:ascii="Rubik" w:eastAsia="Rubik" w:hAnsi="Rubik" w:cs="Rubik"/>
          <w:color w:val="000000"/>
          <w:sz w:val="22"/>
          <w:szCs w:val="22"/>
        </w:rPr>
        <w:t>.</w:t>
      </w:r>
    </w:p>
    <w:p w14:paraId="3E02CF8F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sdt>
        <w:sdtPr>
          <w:tag w:val="goog_rdk_6"/>
          <w:id w:val="1353693145"/>
        </w:sdtPr>
        <w:sdtContent/>
      </w:sdt>
      <w:sdt>
        <w:sdtPr>
          <w:tag w:val="goog_rdk_7"/>
          <w:id w:val="-1719806449"/>
        </w:sdtPr>
        <w:sdtContent/>
      </w:sdt>
      <w:r>
        <w:rPr>
          <w:rFonts w:ascii="Rubik" w:eastAsia="Rubik" w:hAnsi="Rubik" w:cs="Rubik"/>
          <w:color w:val="000000"/>
          <w:sz w:val="22"/>
          <w:szCs w:val="22"/>
        </w:rPr>
        <w:t xml:space="preserve">Sono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222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le borracce distribuite gratuitamente ai </w:t>
      </w:r>
      <w:r w:rsidR="00A50C54">
        <w:rPr>
          <w:rFonts w:ascii="Rubik" w:eastAsia="Rubik" w:hAnsi="Rubik" w:cs="Rubik"/>
          <w:color w:val="000000"/>
          <w:sz w:val="22"/>
          <w:szCs w:val="22"/>
        </w:rPr>
        <w:t>neoassunti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come azione per la riduzione della plastica monouso.</w:t>
      </w:r>
    </w:p>
    <w:p w14:paraId="0CE17865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>Il Piano delle Azioni Positive, il Gender Equality Plan e il progetto "UniBg in Transizione" costituiscono i principali strumenti di riferimento per la gestione delle politiche sociali e organizzative.</w:t>
      </w:r>
    </w:p>
    <w:p w14:paraId="40D46D31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306DDAFA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b/>
          <w:bCs/>
          <w:i/>
          <w:iCs/>
          <w:color w:val="000000"/>
          <w:sz w:val="22"/>
          <w:szCs w:val="22"/>
        </w:rPr>
        <w:t>Sostenibilità ambientale</w:t>
      </w:r>
    </w:p>
    <w:p w14:paraId="01766B10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36F5E7CE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I progetti inerenti impianti di efficientamento energetico passano da 1 nel 2022 a 4 nel 2024 e la quota di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auto-produzione da fonti rinnovabili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raggiunge il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4%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dei consumi elettrici. Nel 2024 i consumi energetici elettrici sono pari a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3.577.288 kWh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con un incremento del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+5,7%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rispetto al 2022. I consumi di calore da teleriscaldamento ammontano a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5.962 GJ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con una riduzione del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29,2%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rispetto al 2022. Il consumo idrico annuale è pari a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27.202 m³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in aumento di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6.743 m³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 rispetto al 2022. </w:t>
      </w:r>
    </w:p>
    <w:p w14:paraId="12CA9D03" w14:textId="77777777" w:rsidR="000B35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  <w:r>
        <w:rPr>
          <w:rFonts w:ascii="Rubik" w:eastAsia="Rubik" w:hAnsi="Rubik" w:cs="Rubik"/>
          <w:color w:val="000000"/>
          <w:sz w:val="22"/>
          <w:szCs w:val="22"/>
        </w:rPr>
        <w:t xml:space="preserve">Gli abbonamenti studenti e personale ai servizi di trasporto pubblico crescono di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1.596 unità</w:t>
      </w:r>
      <w:r>
        <w:rPr>
          <w:rFonts w:ascii="Rubik" w:eastAsia="Rubik" w:hAnsi="Rubik" w:cs="Rubik"/>
          <w:color w:val="000000"/>
          <w:sz w:val="22"/>
          <w:szCs w:val="22"/>
        </w:rPr>
        <w:t xml:space="preserve">, raggiungendo </w:t>
      </w:r>
      <w:r>
        <w:rPr>
          <w:rFonts w:ascii="Rubik" w:eastAsia="Rubik" w:hAnsi="Rubik" w:cs="Rubik"/>
          <w:b/>
          <w:bCs/>
          <w:color w:val="000000"/>
          <w:sz w:val="22"/>
          <w:szCs w:val="22"/>
        </w:rPr>
        <w:t>5.024 adesioni</w:t>
      </w:r>
      <w:r>
        <w:rPr>
          <w:rFonts w:ascii="Rubik" w:eastAsia="Rubik" w:hAnsi="Rubik" w:cs="Rubik"/>
          <w:color w:val="000000"/>
          <w:sz w:val="22"/>
          <w:szCs w:val="22"/>
        </w:rPr>
        <w:t>.</w:t>
      </w:r>
    </w:p>
    <w:p w14:paraId="01F62C7F" w14:textId="77777777" w:rsidR="000B35F1" w:rsidRDefault="000B35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color w:val="000000"/>
          <w:sz w:val="22"/>
          <w:szCs w:val="22"/>
        </w:rPr>
      </w:pPr>
    </w:p>
    <w:p w14:paraId="5C15C4A6" w14:textId="77777777" w:rsidR="000B35F1" w:rsidRDefault="00000000">
      <w:pPr>
        <w:pStyle w:val="Titolo3"/>
        <w:spacing w:before="0" w:after="0"/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t>Sostenibilità economica</w:t>
      </w:r>
    </w:p>
    <w:p w14:paraId="4A25FD35" w14:textId="77777777" w:rsidR="000B35F1" w:rsidRDefault="000B35F1">
      <w:pPr>
        <w:rPr>
          <w:rFonts w:ascii="Rubik" w:eastAsia="Rubik" w:hAnsi="Rubik" w:cs="Rubik"/>
          <w:sz w:val="22"/>
          <w:szCs w:val="22"/>
        </w:rPr>
      </w:pPr>
    </w:p>
    <w:p w14:paraId="7A70E6E0" w14:textId="03CB3A60" w:rsidR="005E1F91" w:rsidRPr="005E1F9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Il Bilancio mostra come l’ateneo sia in grado non solo di produrre valore economico, ma anche di distribuirlo in modo significativo tra i principali stakeholder. In particolare, la quota maggiore del valore generato, pari al </w:t>
      </w:r>
      <w:r>
        <w:rPr>
          <w:rFonts w:ascii="Rubik" w:eastAsia="Rubik" w:hAnsi="Rubik" w:cs="Rubik"/>
          <w:b/>
          <w:bCs/>
          <w:sz w:val="22"/>
          <w:szCs w:val="22"/>
        </w:rPr>
        <w:t>58,2%</w:t>
      </w:r>
      <w:r w:rsidRPr="00A50C54"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sz w:val="22"/>
          <w:szCs w:val="22"/>
        </w:rPr>
        <w:t xml:space="preserve">è stata destinata ai dipendenti sotto forma di retribuzioni, contributi e altri costi del personale, evidenziando il ruolo centrale delle risorse umane nel funzionamento dell’università. Un’ulteriore parte rilevante, pari al </w:t>
      </w:r>
      <w:r>
        <w:rPr>
          <w:rFonts w:ascii="Rubik" w:eastAsia="Rubik" w:hAnsi="Rubik" w:cs="Rubik"/>
          <w:b/>
          <w:bCs/>
          <w:sz w:val="22"/>
          <w:szCs w:val="22"/>
        </w:rPr>
        <w:t>12%</w:t>
      </w:r>
      <w:r w:rsidRPr="00A50C54"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sz w:val="22"/>
          <w:szCs w:val="22"/>
        </w:rPr>
        <w:t>è stata invece rivolta a studenti e studentesse, attraverso borse di studio, servizi, agevolazioni e attività di supporto alla formazione, a conferma dell’attenzione dell’ateneo verso il diritto allo studio e il benessere della comunità studentesca.</w:t>
      </w:r>
    </w:p>
    <w:sectPr w:rsidR="005E1F91" w:rsidRPr="005E1F91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08A1F" w14:textId="77777777" w:rsidR="001666B8" w:rsidRDefault="001666B8">
      <w:r>
        <w:separator/>
      </w:r>
    </w:p>
  </w:endnote>
  <w:endnote w:type="continuationSeparator" w:id="0">
    <w:p w14:paraId="02405FBF" w14:textId="77777777" w:rsidR="001666B8" w:rsidRDefault="0016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220A99-FA9E-864E-B11A-D0E073E3FE52}"/>
    <w:embedBold r:id="rId2" w:fontKey="{F206D49E-CEA6-E044-95B7-B96DD8F3AE7A}"/>
    <w:embedItalic r:id="rId3" w:fontKey="{FBAB3D22-CBDC-054E-B574-92BB1C7F48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EC066B-63F3-2E43-B33B-3A5E46544995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2138F8D-4DCA-7A4D-8DB5-6BBB1F3F8E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A432A26-A6F0-AF4C-BC16-69A3A53156C3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21340721-F88C-044A-A986-0670856D9FEA}"/>
    <w:embedBold r:id="rId9" w:fontKey="{44826E4F-BE0B-DB40-997B-A74C46D42E6F}"/>
    <w:embedItalic r:id="rId10" w:fontKey="{4E62234F-240F-6041-A985-2109DC691A14}"/>
    <w:embedBoldItalic r:id="rId11" w:fontKey="{C2C67130-39AD-CF46-A121-D2442658FF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3DAA656-39C0-3A4D-B93B-8BB1EE42F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3D9D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17D0AB72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3B4DEE2F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7B75CA3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851A2" w14:textId="77777777" w:rsidR="001666B8" w:rsidRDefault="001666B8">
      <w:r>
        <w:separator/>
      </w:r>
    </w:p>
  </w:footnote>
  <w:footnote w:type="continuationSeparator" w:id="0">
    <w:p w14:paraId="458C396B" w14:textId="77777777" w:rsidR="001666B8" w:rsidRDefault="00166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BC20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F1AFA7C" wp14:editId="59084C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2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666B8">
      <w:rPr>
        <w:rFonts w:ascii="Calibri" w:eastAsia="Calibri" w:hAnsi="Calibri" w:cs="Calibri"/>
        <w:color w:val="000000"/>
      </w:rPr>
      <w:pict w14:anchorId="02362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7C6F" w14:textId="77777777" w:rsidR="000B35F1" w:rsidRDefault="001666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1F16B0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33416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7DA7C377" wp14:editId="2802A6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1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666B8">
      <w:rPr>
        <w:rFonts w:ascii="Calibri" w:eastAsia="Calibri" w:hAnsi="Calibri" w:cs="Calibri"/>
        <w:color w:val="000000"/>
      </w:rPr>
      <w:pict w14:anchorId="097227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5F1"/>
    <w:rsid w:val="000B35F1"/>
    <w:rsid w:val="0014000C"/>
    <w:rsid w:val="001666B8"/>
    <w:rsid w:val="0028490A"/>
    <w:rsid w:val="003128EE"/>
    <w:rsid w:val="003A4421"/>
    <w:rsid w:val="003D43FE"/>
    <w:rsid w:val="004741BB"/>
    <w:rsid w:val="005E1F91"/>
    <w:rsid w:val="008F3009"/>
    <w:rsid w:val="00992288"/>
    <w:rsid w:val="00A50C54"/>
    <w:rsid w:val="00AA7F83"/>
    <w:rsid w:val="00AF1575"/>
    <w:rsid w:val="00CD3FC4"/>
    <w:rsid w:val="00CD6F1A"/>
    <w:rsid w:val="00CF7FF7"/>
    <w:rsid w:val="00D5083F"/>
    <w:rsid w:val="00F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2F6E9"/>
  <w15:docId w15:val="{1670CE6D-F115-0749-9BC7-C529E415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nibg.it/sites/default/files/media/documents/2025-12-16/Bilancio%20di%20Sostenibilita%CC%80%20r00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jTi0ADqHytxJs1KMP+t4MjfFQ==">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iL+AQoKdGV4dC9wbGFpbhLvAWlsIGRhdG8gc3RyYW5pZXJpIMOoIGEgcGFnLiAxMiBtZW50cmUgcGVyIHByZWNpc2lvbmUgaG8gcmlwb3J0YXRvIGxhIHRhYmVsbGEuIE1hbmNhIGlsIG51bWVybyBkZWdsaSBpc2NyaXR0aSBhaSBkb3R0b3JhdGkgZSBzY3VvbGUgZGkgc3BlY2lhbGl6emF6aW9uZSBjaGUgbmVsIGRvY3VtZW50byBub24gw6ggcmlwb3J0YXRvIHF1aW5kaSBsJ2hvIGxhc2NpYXRvIG5lbCB0ZXN0byBldmlkZW56aWF0byBpbiBnaWFsbG8uKhsiFTExNTkyNjc1Mjk5NTM1Mzg1MzU3NSgAOAAw4LC5jrIzOOCwuY6yM1oMYmJ5Zjhpcmp3NXpzcgIgAHgAmgEGCAAQABgAqgH2AR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1014</Words>
  <Characters>5781</Characters>
  <Application>Microsoft Office Word</Application>
  <DocSecurity>0</DocSecurity>
  <Lines>48</Lines>
  <Paragraphs>13</Paragraphs>
  <ScaleCrop>false</ScaleCrop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7</cp:revision>
  <dcterms:created xsi:type="dcterms:W3CDTF">2025-12-16T09:05:00Z</dcterms:created>
  <dcterms:modified xsi:type="dcterms:W3CDTF">2025-12-16T14:30:00Z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