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1685" w14:textId="77777777" w:rsidR="005735C4" w:rsidRPr="003576C7" w:rsidRDefault="005735C4" w:rsidP="00A77BCC">
      <w:pPr>
        <w:pStyle w:val="NormaleWeb"/>
        <w:jc w:val="center"/>
        <w:rPr>
          <w:rFonts w:ascii="Rubik" w:hAnsi="Rubik" w:cs="Rubik" w:hint="cs"/>
          <w:b/>
          <w:bCs/>
          <w:sz w:val="20"/>
          <w:szCs w:val="20"/>
          <w:u w:val="single"/>
        </w:rPr>
      </w:pPr>
      <w:r w:rsidRPr="003576C7">
        <w:rPr>
          <w:rStyle w:val="Enfasigrassetto"/>
          <w:rFonts w:ascii="Rubik" w:hAnsi="Rubik" w:cs="Rubik" w:hint="cs"/>
          <w:b w:val="0"/>
          <w:bCs w:val="0"/>
          <w:sz w:val="20"/>
          <w:szCs w:val="20"/>
          <w:u w:val="single"/>
        </w:rPr>
        <w:t>COMUNICATO STAMPA</w:t>
      </w:r>
    </w:p>
    <w:p w14:paraId="399ECC9A" w14:textId="460D08CA" w:rsidR="005735C4" w:rsidRPr="003576C7" w:rsidRDefault="005735C4" w:rsidP="005735C4">
      <w:pPr>
        <w:pStyle w:val="NormaleWeb"/>
        <w:jc w:val="center"/>
        <w:rPr>
          <w:rFonts w:ascii="Rubik" w:hAnsi="Rubik" w:cs="Rubik" w:hint="cs"/>
          <w:b/>
          <w:bCs/>
          <w:sz w:val="22"/>
          <w:szCs w:val="22"/>
        </w:rPr>
      </w:pPr>
      <w:r w:rsidRPr="003576C7">
        <w:rPr>
          <w:rStyle w:val="Enfasigrassetto"/>
          <w:rFonts w:ascii="Rubik" w:hAnsi="Rubik" w:cs="Rubik"/>
          <w:sz w:val="22"/>
          <w:szCs w:val="22"/>
        </w:rPr>
        <w:t>UNIVERSITÀ DI BERGAMO E UNIVERSITÀ DI BRESCIA:</w:t>
      </w:r>
      <w:r w:rsidRPr="003576C7">
        <w:rPr>
          <w:rStyle w:val="Enfasigrassetto"/>
          <w:rFonts w:ascii="Rubik" w:hAnsi="Rubik" w:cs="Rubik"/>
          <w:sz w:val="22"/>
          <w:szCs w:val="22"/>
        </w:rPr>
        <w:br/>
        <w:t>PUBBLICATO IL BANDO PER LA III EDIZIONE DEI PERCORSI ABILITANTI</w:t>
      </w:r>
      <w:r w:rsidRPr="003576C7">
        <w:rPr>
          <w:rStyle w:val="Enfasigrassetto"/>
          <w:rFonts w:ascii="Rubik" w:hAnsi="Rubik" w:cs="Rubik"/>
          <w:sz w:val="22"/>
          <w:szCs w:val="22"/>
        </w:rPr>
        <w:br/>
        <w:t>PER INSEGNANTI DELLA SCUOLA SECONDARIA</w:t>
      </w:r>
    </w:p>
    <w:p w14:paraId="1C1BF315" w14:textId="532EFF18" w:rsidR="005735C4" w:rsidRPr="005735C4" w:rsidRDefault="005735C4" w:rsidP="005735C4">
      <w:pPr>
        <w:pStyle w:val="NormaleWeb"/>
        <w:jc w:val="both"/>
        <w:rPr>
          <w:rFonts w:ascii="Rubik" w:hAnsi="Rubik" w:cs="Rubik" w:hint="cs"/>
          <w:sz w:val="22"/>
          <w:szCs w:val="22"/>
        </w:rPr>
      </w:pPr>
      <w:r w:rsidRPr="005735C4">
        <w:rPr>
          <w:rFonts w:ascii="Rubik" w:hAnsi="Rubik" w:cs="Rubik"/>
          <w:i/>
          <w:iCs/>
          <w:sz w:val="22"/>
          <w:szCs w:val="22"/>
        </w:rPr>
        <w:t>Bergamo</w:t>
      </w:r>
      <w:r w:rsidRPr="005735C4">
        <w:rPr>
          <w:rFonts w:ascii="Rubik" w:hAnsi="Rubik" w:cs="Rubik" w:hint="cs"/>
          <w:i/>
          <w:iCs/>
          <w:sz w:val="22"/>
          <w:szCs w:val="22"/>
        </w:rPr>
        <w:t>, 0</w:t>
      </w:r>
      <w:r w:rsidR="00782526">
        <w:rPr>
          <w:rFonts w:ascii="Rubik" w:hAnsi="Rubik" w:cs="Rubik"/>
          <w:i/>
          <w:iCs/>
          <w:sz w:val="22"/>
          <w:szCs w:val="22"/>
        </w:rPr>
        <w:t>2</w:t>
      </w:r>
      <w:r w:rsidRPr="005735C4">
        <w:rPr>
          <w:rFonts w:ascii="Rubik" w:hAnsi="Rubik" w:cs="Rubik" w:hint="cs"/>
          <w:i/>
          <w:iCs/>
          <w:sz w:val="22"/>
          <w:szCs w:val="22"/>
        </w:rPr>
        <w:t xml:space="preserve"> </w:t>
      </w:r>
      <w:r w:rsidR="00782526">
        <w:rPr>
          <w:rFonts w:ascii="Rubik" w:hAnsi="Rubik" w:cs="Rubik"/>
          <w:i/>
          <w:iCs/>
          <w:sz w:val="22"/>
          <w:szCs w:val="22"/>
        </w:rPr>
        <w:t xml:space="preserve">febbraio </w:t>
      </w:r>
      <w:r w:rsidRPr="005735C4">
        <w:rPr>
          <w:rFonts w:ascii="Rubik" w:hAnsi="Rubik" w:cs="Rubik" w:hint="cs"/>
          <w:i/>
          <w:iCs/>
          <w:sz w:val="22"/>
          <w:szCs w:val="22"/>
        </w:rPr>
        <w:t>2026</w:t>
      </w:r>
      <w:r w:rsidRPr="005735C4">
        <w:rPr>
          <w:rFonts w:ascii="Rubik" w:hAnsi="Rubik" w:cs="Rubik" w:hint="cs"/>
          <w:sz w:val="22"/>
          <w:szCs w:val="22"/>
        </w:rPr>
        <w:t xml:space="preserve"> – È stato pubblicat</w:t>
      </w:r>
      <w:r>
        <w:rPr>
          <w:rFonts w:ascii="Rubik" w:hAnsi="Rubik" w:cs="Rubik"/>
          <w:sz w:val="22"/>
          <w:szCs w:val="22"/>
        </w:rPr>
        <w:t>o</w:t>
      </w:r>
      <w:r w:rsidRPr="005735C4">
        <w:rPr>
          <w:rFonts w:ascii="Rubik" w:hAnsi="Rubik" w:cs="Rubik" w:hint="cs"/>
          <w:sz w:val="22"/>
          <w:szCs w:val="22"/>
        </w:rPr>
        <w:t xml:space="preserve"> il bando per l’iscrizione alla </w:t>
      </w:r>
      <w:r w:rsidRPr="00B71433">
        <w:rPr>
          <w:rFonts w:ascii="Rubik" w:hAnsi="Rubik" w:cs="Rubik" w:hint="cs"/>
          <w:b/>
          <w:bCs/>
          <w:sz w:val="22"/>
          <w:szCs w:val="22"/>
        </w:rPr>
        <w:t>terza edizione</w:t>
      </w:r>
      <w:r w:rsidRPr="005735C4">
        <w:rPr>
          <w:rFonts w:ascii="Rubik" w:hAnsi="Rubik" w:cs="Rubik" w:hint="cs"/>
          <w:sz w:val="22"/>
          <w:szCs w:val="22"/>
        </w:rPr>
        <w:t xml:space="preserve"> dei </w:t>
      </w:r>
      <w:r w:rsidRPr="00B71433">
        <w:rPr>
          <w:rFonts w:ascii="Rubik" w:hAnsi="Rubik" w:cs="Rubik" w:hint="cs"/>
          <w:b/>
          <w:bCs/>
          <w:sz w:val="22"/>
          <w:szCs w:val="22"/>
        </w:rPr>
        <w:t>percorsi formativi abilitanti per l’insegnamento nella scuola secondaria di primo e secondo grado</w:t>
      </w:r>
      <w:r w:rsidRPr="005735C4">
        <w:rPr>
          <w:rFonts w:ascii="Rubik" w:hAnsi="Rubik" w:cs="Rubik" w:hint="cs"/>
          <w:sz w:val="22"/>
          <w:szCs w:val="22"/>
        </w:rPr>
        <w:t>, promossi dal Centro Interateneo per la Formazione iniziale degli Insegnanti (CE.F.I.) delle Università degli studi di Bergamo e di Brescia.</w:t>
      </w:r>
    </w:p>
    <w:p w14:paraId="77493CE0" w14:textId="0DB9124F" w:rsidR="005735C4" w:rsidRPr="005735C4" w:rsidRDefault="005735C4" w:rsidP="005735C4">
      <w:pPr>
        <w:pStyle w:val="NormaleWeb"/>
        <w:jc w:val="both"/>
        <w:rPr>
          <w:rFonts w:ascii="Rubik" w:hAnsi="Rubik" w:cs="Rubik" w:hint="cs"/>
          <w:sz w:val="22"/>
          <w:szCs w:val="22"/>
        </w:rPr>
      </w:pPr>
      <w:r w:rsidRPr="005735C4">
        <w:rPr>
          <w:rFonts w:ascii="Rubik" w:hAnsi="Rubik" w:cs="Rubik" w:hint="cs"/>
          <w:sz w:val="22"/>
          <w:szCs w:val="22"/>
        </w:rPr>
        <w:t xml:space="preserve">Per l’anno accademico 2025/2026 il CE.F.I. attiverà complessivamente </w:t>
      </w:r>
      <w:r w:rsidRPr="00B71433">
        <w:rPr>
          <w:rFonts w:ascii="Rubik" w:hAnsi="Rubik" w:cs="Rubik" w:hint="cs"/>
          <w:b/>
          <w:bCs/>
          <w:sz w:val="22"/>
          <w:szCs w:val="22"/>
        </w:rPr>
        <w:t>19 percorsi formativi</w:t>
      </w:r>
      <w:r w:rsidRPr="005735C4">
        <w:rPr>
          <w:rFonts w:ascii="Rubik" w:hAnsi="Rubik" w:cs="Rubik" w:hint="cs"/>
          <w:sz w:val="22"/>
          <w:szCs w:val="22"/>
        </w:rPr>
        <w:t xml:space="preserve">, articolati in percorsi da </w:t>
      </w:r>
      <w:r w:rsidRPr="00B71433">
        <w:rPr>
          <w:rFonts w:ascii="Rubik" w:hAnsi="Rubik" w:cs="Rubik" w:hint="cs"/>
          <w:b/>
          <w:bCs/>
          <w:sz w:val="22"/>
          <w:szCs w:val="22"/>
        </w:rPr>
        <w:t>60 CFU, 30 CFU e 36 CFU</w:t>
      </w:r>
      <w:r w:rsidRPr="005735C4">
        <w:rPr>
          <w:rFonts w:ascii="Rubik" w:hAnsi="Rubik" w:cs="Rubik" w:hint="cs"/>
          <w:sz w:val="22"/>
          <w:szCs w:val="22"/>
        </w:rPr>
        <w:t xml:space="preserve">, che si svolgeranno presso le sedi universitarie di Bergamo e di Brescia. I posti disponibili sono 674, ai quali si aggiungono i posti in soprannumero riservati ai vincitori di concorso, per un </w:t>
      </w:r>
      <w:r w:rsidRPr="00B71433">
        <w:rPr>
          <w:rFonts w:ascii="Rubik" w:hAnsi="Rubik" w:cs="Rubik" w:hint="cs"/>
          <w:b/>
          <w:bCs/>
          <w:sz w:val="22"/>
          <w:szCs w:val="22"/>
        </w:rPr>
        <w:t>totale</w:t>
      </w:r>
      <w:r w:rsidR="00B71433">
        <w:rPr>
          <w:rFonts w:ascii="Rubik" w:hAnsi="Rubik" w:cs="Rubik"/>
          <w:b/>
          <w:bCs/>
          <w:sz w:val="22"/>
          <w:szCs w:val="22"/>
        </w:rPr>
        <w:t xml:space="preserve"> massimo</w:t>
      </w:r>
      <w:r w:rsidRPr="00B71433">
        <w:rPr>
          <w:rFonts w:ascii="Rubik" w:hAnsi="Rubik" w:cs="Rubik" w:hint="cs"/>
          <w:b/>
          <w:bCs/>
          <w:sz w:val="22"/>
          <w:szCs w:val="22"/>
        </w:rPr>
        <w:t xml:space="preserve"> di 996 posti</w:t>
      </w:r>
      <w:r w:rsidRPr="005735C4">
        <w:rPr>
          <w:rFonts w:ascii="Rubik" w:hAnsi="Rubik" w:cs="Rubik" w:hint="cs"/>
          <w:sz w:val="22"/>
          <w:szCs w:val="22"/>
        </w:rPr>
        <w:t>.</w:t>
      </w:r>
    </w:p>
    <w:p w14:paraId="4FB14BD2" w14:textId="77777777" w:rsidR="005735C4" w:rsidRPr="005735C4" w:rsidRDefault="005735C4" w:rsidP="005735C4">
      <w:pPr>
        <w:pStyle w:val="NormaleWeb"/>
        <w:jc w:val="both"/>
        <w:rPr>
          <w:rFonts w:ascii="Rubik" w:hAnsi="Rubik" w:cs="Rubik" w:hint="cs"/>
          <w:sz w:val="22"/>
          <w:szCs w:val="22"/>
        </w:rPr>
      </w:pPr>
      <w:r w:rsidRPr="005735C4">
        <w:rPr>
          <w:rFonts w:ascii="Rubik" w:hAnsi="Rubik" w:cs="Rubik" w:hint="cs"/>
          <w:sz w:val="22"/>
          <w:szCs w:val="22"/>
        </w:rPr>
        <w:t xml:space="preserve">I percorsi abilitanti riguardano un ampio ventaglio di classi di concorso della scuola secondaria, che includono </w:t>
      </w:r>
      <w:r w:rsidRPr="00B71433">
        <w:rPr>
          <w:rFonts w:ascii="Rubik" w:hAnsi="Rubik" w:cs="Rubik" w:hint="cs"/>
          <w:b/>
          <w:bCs/>
          <w:sz w:val="22"/>
          <w:szCs w:val="22"/>
        </w:rPr>
        <w:t>ambiti umanistici, linguistici, scientifici, tecnologici, economico-giuridici e motorio-sportivi</w:t>
      </w:r>
      <w:r w:rsidRPr="005735C4">
        <w:rPr>
          <w:rFonts w:ascii="Rubik" w:hAnsi="Rubik" w:cs="Rubik" w:hint="cs"/>
          <w:sz w:val="22"/>
          <w:szCs w:val="22"/>
        </w:rPr>
        <w:t xml:space="preserve">, oltre alle </w:t>
      </w:r>
      <w:r w:rsidRPr="00B71433">
        <w:rPr>
          <w:rFonts w:ascii="Rubik" w:hAnsi="Rubik" w:cs="Rubik" w:hint="cs"/>
          <w:b/>
          <w:bCs/>
          <w:sz w:val="22"/>
          <w:szCs w:val="22"/>
        </w:rPr>
        <w:t>discipline artistiche e agrarie</w:t>
      </w:r>
      <w:r w:rsidRPr="005735C4">
        <w:rPr>
          <w:rFonts w:ascii="Rubik" w:hAnsi="Rubik" w:cs="Rubik" w:hint="cs"/>
          <w:sz w:val="22"/>
          <w:szCs w:val="22"/>
        </w:rPr>
        <w:t>, rispondendo così a una domanda formativa diversificata e coerente con il fabbisogno del sistema scolastico.</w:t>
      </w:r>
    </w:p>
    <w:p w14:paraId="5FB68716" w14:textId="3D9851E3" w:rsidR="005735C4" w:rsidRPr="005735C4" w:rsidRDefault="005735C4" w:rsidP="005735C4">
      <w:pPr>
        <w:pStyle w:val="NormaleWeb"/>
        <w:jc w:val="both"/>
        <w:rPr>
          <w:rFonts w:ascii="Rubik" w:hAnsi="Rubik" w:cs="Rubik" w:hint="cs"/>
          <w:sz w:val="22"/>
          <w:szCs w:val="22"/>
        </w:rPr>
      </w:pPr>
      <w:r w:rsidRPr="005735C4">
        <w:rPr>
          <w:rFonts w:ascii="Rubik" w:hAnsi="Rubik" w:cs="Rubik" w:hint="cs"/>
          <w:sz w:val="22"/>
          <w:szCs w:val="22"/>
        </w:rPr>
        <w:t xml:space="preserve">La domanda di iscrizione potrà essere presentata a partire </w:t>
      </w:r>
      <w:r w:rsidRPr="00B71433">
        <w:rPr>
          <w:rFonts w:ascii="Rubik" w:hAnsi="Rubik" w:cs="Rubik" w:hint="cs"/>
          <w:b/>
          <w:bCs/>
          <w:sz w:val="22"/>
          <w:szCs w:val="22"/>
        </w:rPr>
        <w:t>dalle ore 9 di martedì 3 febbraio</w:t>
      </w:r>
      <w:r w:rsidR="00B71433">
        <w:rPr>
          <w:rFonts w:ascii="Rubik" w:hAnsi="Rubik" w:cs="Rubik"/>
          <w:sz w:val="22"/>
          <w:szCs w:val="22"/>
        </w:rPr>
        <w:t xml:space="preserve"> </w:t>
      </w:r>
      <w:r w:rsidRPr="005735C4">
        <w:rPr>
          <w:rFonts w:ascii="Rubik" w:hAnsi="Rubik" w:cs="Rubik" w:hint="cs"/>
          <w:sz w:val="22"/>
          <w:szCs w:val="22"/>
        </w:rPr>
        <w:t xml:space="preserve">ed </w:t>
      </w:r>
      <w:r w:rsidRPr="00B71433">
        <w:rPr>
          <w:rFonts w:ascii="Rubik" w:hAnsi="Rubik" w:cs="Rubik" w:hint="cs"/>
          <w:b/>
          <w:bCs/>
          <w:sz w:val="22"/>
          <w:szCs w:val="22"/>
        </w:rPr>
        <w:t>entro le ore 12 di martedì 10 febbraio 2026</w:t>
      </w:r>
      <w:r w:rsidRPr="005735C4">
        <w:rPr>
          <w:rFonts w:ascii="Rubik" w:hAnsi="Rubik" w:cs="Rubik" w:hint="cs"/>
          <w:sz w:val="22"/>
          <w:szCs w:val="22"/>
        </w:rPr>
        <w:t>, secondo le modalità indicate nel bando.</w:t>
      </w:r>
    </w:p>
    <w:p w14:paraId="531D7923" w14:textId="58DF35E8" w:rsidR="005735C4" w:rsidRPr="005735C4" w:rsidRDefault="005735C4" w:rsidP="005735C4">
      <w:pPr>
        <w:pStyle w:val="NormaleWeb"/>
        <w:jc w:val="both"/>
        <w:rPr>
          <w:rFonts w:ascii="Rubik" w:hAnsi="Rubik" w:cs="Rubik" w:hint="cs"/>
          <w:sz w:val="22"/>
          <w:szCs w:val="22"/>
        </w:rPr>
      </w:pPr>
      <w:r w:rsidRPr="005735C4">
        <w:rPr>
          <w:rFonts w:ascii="Rubik" w:hAnsi="Rubik" w:cs="Rubik" w:hint="cs"/>
          <w:sz w:val="22"/>
          <w:szCs w:val="22"/>
        </w:rPr>
        <w:t xml:space="preserve">Il testo integrale del bando, insieme </w:t>
      </w:r>
      <w:r w:rsidR="00B71433">
        <w:rPr>
          <w:rFonts w:ascii="Rubik" w:hAnsi="Rubik" w:cs="Rubik"/>
          <w:sz w:val="22"/>
          <w:szCs w:val="22"/>
        </w:rPr>
        <w:t>alle</w:t>
      </w:r>
      <w:r w:rsidRPr="005735C4">
        <w:rPr>
          <w:rFonts w:ascii="Rubik" w:hAnsi="Rubik" w:cs="Rubik" w:hint="cs"/>
          <w:sz w:val="22"/>
          <w:szCs w:val="22"/>
        </w:rPr>
        <w:t xml:space="preserve"> informazioni utili e agli eventuali aggiornamenti, è disponibile sul sito dell’Università degli studi di Bergamo alla pagina dedicata ai percorsi di formazione iniziale dei docenti: </w:t>
      </w:r>
      <w:hyperlink r:id="rId7" w:tgtFrame="_new" w:history="1">
        <w:r w:rsidRPr="005735C4">
          <w:rPr>
            <w:rStyle w:val="Collegamentoipertestuale"/>
            <w:rFonts w:ascii="Rubik" w:hAnsi="Rubik" w:cs="Rubik" w:hint="cs"/>
            <w:sz w:val="22"/>
            <w:szCs w:val="22"/>
          </w:rPr>
          <w:t>https://www.unibg.it/terza-missione/formazione-continua/formazione-inseg</w:t>
        </w:r>
        <w:r w:rsidRPr="005735C4">
          <w:rPr>
            <w:rStyle w:val="Collegamentoipertestuale"/>
            <w:rFonts w:ascii="Rubik" w:hAnsi="Rubik" w:cs="Rubik" w:hint="cs"/>
            <w:sz w:val="22"/>
            <w:szCs w:val="22"/>
          </w:rPr>
          <w:t>n</w:t>
        </w:r>
        <w:r w:rsidRPr="005735C4">
          <w:rPr>
            <w:rStyle w:val="Collegamentoipertestuale"/>
            <w:rFonts w:ascii="Rubik" w:hAnsi="Rubik" w:cs="Rubik" w:hint="cs"/>
            <w:sz w:val="22"/>
            <w:szCs w:val="22"/>
          </w:rPr>
          <w:t>anti/percorsi-formazione-iniziale-dei-docenti</w:t>
        </w:r>
      </w:hyperlink>
    </w:p>
    <w:sectPr w:rsidR="005735C4" w:rsidRPr="005735C4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82BB" w14:textId="77777777" w:rsidR="004C1C73" w:rsidRDefault="004C1C73">
      <w:r>
        <w:separator/>
      </w:r>
    </w:p>
  </w:endnote>
  <w:endnote w:type="continuationSeparator" w:id="0">
    <w:p w14:paraId="7E2B7BD6" w14:textId="77777777" w:rsidR="004C1C73" w:rsidRDefault="004C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2DDA" w14:textId="77777777" w:rsidR="00F37011" w:rsidRDefault="000246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59F6CBC0" w14:textId="77777777" w:rsidR="00F37011" w:rsidRDefault="000246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6BF3707F" w14:textId="77777777" w:rsidR="00F37011" w:rsidRDefault="000246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752F999E" w14:textId="77777777" w:rsidR="00F37011" w:rsidRDefault="000246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EC90" w14:textId="77777777" w:rsidR="004C1C73" w:rsidRDefault="004C1C73">
      <w:r>
        <w:separator/>
      </w:r>
    </w:p>
  </w:footnote>
  <w:footnote w:type="continuationSeparator" w:id="0">
    <w:p w14:paraId="547372ED" w14:textId="77777777" w:rsidR="004C1C73" w:rsidRDefault="004C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8911" w14:textId="77777777" w:rsidR="00F37011" w:rsidRDefault="000246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5E31817A" wp14:editId="2C4113B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2" name="image3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C1C73">
      <w:rPr>
        <w:rFonts w:ascii="Calibri" w:eastAsia="Calibri" w:hAnsi="Calibri" w:cs="Calibri"/>
        <w:color w:val="000000"/>
      </w:rPr>
      <w:pict w14:anchorId="6FEE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E1A9" w14:textId="77777777" w:rsidR="00F37011" w:rsidRDefault="004C1C7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611AE5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CCF5" w14:textId="77777777" w:rsidR="00F37011" w:rsidRDefault="000246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3D4316F6" wp14:editId="51D4A14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" name="image3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C1C73">
      <w:rPr>
        <w:rFonts w:ascii="Calibri" w:eastAsia="Calibri" w:hAnsi="Calibri" w:cs="Calibri"/>
        <w:color w:val="000000"/>
      </w:rPr>
      <w:pict w14:anchorId="53401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E58C3"/>
    <w:multiLevelType w:val="hybridMultilevel"/>
    <w:tmpl w:val="C5EA4C7C"/>
    <w:lvl w:ilvl="0" w:tplc="6BBC7DAC">
      <w:numFmt w:val="bullet"/>
      <w:lvlText w:val="-"/>
      <w:lvlJc w:val="left"/>
      <w:pPr>
        <w:ind w:left="720" w:hanging="360"/>
      </w:pPr>
      <w:rPr>
        <w:rFonts w:ascii="Rubik" w:eastAsia="Rubik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11"/>
    <w:rsid w:val="000246B6"/>
    <w:rsid w:val="00136556"/>
    <w:rsid w:val="001C0E65"/>
    <w:rsid w:val="001D4024"/>
    <w:rsid w:val="001E3644"/>
    <w:rsid w:val="00222EAD"/>
    <w:rsid w:val="00235C8B"/>
    <w:rsid w:val="002418BC"/>
    <w:rsid w:val="00250452"/>
    <w:rsid w:val="00264DA5"/>
    <w:rsid w:val="0027795B"/>
    <w:rsid w:val="00283DD5"/>
    <w:rsid w:val="00295088"/>
    <w:rsid w:val="002A758C"/>
    <w:rsid w:val="002B397A"/>
    <w:rsid w:val="002D20FB"/>
    <w:rsid w:val="002F44FD"/>
    <w:rsid w:val="003576C7"/>
    <w:rsid w:val="003613EF"/>
    <w:rsid w:val="00367B2F"/>
    <w:rsid w:val="003B3ACB"/>
    <w:rsid w:val="003D14F1"/>
    <w:rsid w:val="003F42D0"/>
    <w:rsid w:val="004106C3"/>
    <w:rsid w:val="00440ED3"/>
    <w:rsid w:val="00451C55"/>
    <w:rsid w:val="004662A1"/>
    <w:rsid w:val="0046680A"/>
    <w:rsid w:val="004A0ABF"/>
    <w:rsid w:val="004C1C73"/>
    <w:rsid w:val="004C2EAE"/>
    <w:rsid w:val="004D526C"/>
    <w:rsid w:val="004E1C69"/>
    <w:rsid w:val="00511904"/>
    <w:rsid w:val="00536019"/>
    <w:rsid w:val="005735C4"/>
    <w:rsid w:val="005C3145"/>
    <w:rsid w:val="005C7176"/>
    <w:rsid w:val="006023AE"/>
    <w:rsid w:val="00655691"/>
    <w:rsid w:val="006C2A8B"/>
    <w:rsid w:val="006C5CF4"/>
    <w:rsid w:val="006F4973"/>
    <w:rsid w:val="00743FD3"/>
    <w:rsid w:val="00765FA8"/>
    <w:rsid w:val="00767A34"/>
    <w:rsid w:val="00782526"/>
    <w:rsid w:val="007F03DE"/>
    <w:rsid w:val="007F6DC4"/>
    <w:rsid w:val="00806836"/>
    <w:rsid w:val="008172FC"/>
    <w:rsid w:val="008253A9"/>
    <w:rsid w:val="008678B3"/>
    <w:rsid w:val="008928D9"/>
    <w:rsid w:val="008A7747"/>
    <w:rsid w:val="00900028"/>
    <w:rsid w:val="009504A7"/>
    <w:rsid w:val="00952C09"/>
    <w:rsid w:val="00975F54"/>
    <w:rsid w:val="009B3729"/>
    <w:rsid w:val="009F0611"/>
    <w:rsid w:val="009F6EF2"/>
    <w:rsid w:val="00A50BAE"/>
    <w:rsid w:val="00A77BCC"/>
    <w:rsid w:val="00A931C9"/>
    <w:rsid w:val="00AA2415"/>
    <w:rsid w:val="00AA3741"/>
    <w:rsid w:val="00AC16F1"/>
    <w:rsid w:val="00AD06B4"/>
    <w:rsid w:val="00AE779E"/>
    <w:rsid w:val="00B014F6"/>
    <w:rsid w:val="00B304A9"/>
    <w:rsid w:val="00B315E6"/>
    <w:rsid w:val="00B33348"/>
    <w:rsid w:val="00B37F4C"/>
    <w:rsid w:val="00B40D78"/>
    <w:rsid w:val="00B71433"/>
    <w:rsid w:val="00BA79C9"/>
    <w:rsid w:val="00BB7130"/>
    <w:rsid w:val="00BE12C8"/>
    <w:rsid w:val="00BE71BC"/>
    <w:rsid w:val="00C21384"/>
    <w:rsid w:val="00C238F5"/>
    <w:rsid w:val="00C56406"/>
    <w:rsid w:val="00C566AB"/>
    <w:rsid w:val="00C72609"/>
    <w:rsid w:val="00CC1DF1"/>
    <w:rsid w:val="00D43288"/>
    <w:rsid w:val="00D61A11"/>
    <w:rsid w:val="00D6485B"/>
    <w:rsid w:val="00D8633C"/>
    <w:rsid w:val="00DD129C"/>
    <w:rsid w:val="00E276C7"/>
    <w:rsid w:val="00E60490"/>
    <w:rsid w:val="00E62C12"/>
    <w:rsid w:val="00E65790"/>
    <w:rsid w:val="00E70BCB"/>
    <w:rsid w:val="00EF058C"/>
    <w:rsid w:val="00F37011"/>
    <w:rsid w:val="00F459F3"/>
    <w:rsid w:val="00F47A63"/>
    <w:rsid w:val="00FD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9D7B4"/>
  <w15:docId w15:val="{63F5823F-99E8-4351-9361-9F359380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1E36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F06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061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190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5735C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73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bg.it/terza-missione/formazione-continua/formazione-insegnanti/percorsi-formazione-iniziale-dei-docent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Martina Cerea</cp:lastModifiedBy>
  <cp:revision>21</cp:revision>
  <dcterms:created xsi:type="dcterms:W3CDTF">2026-01-17T01:56:00Z</dcterms:created>
  <dcterms:modified xsi:type="dcterms:W3CDTF">2026-01-30T15:23:00Z</dcterms:modified>
</cp:coreProperties>
</file>