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Dear Students,</w:t>
      </w:r>
      <w:r/>
    </w:p>
    <w:p>
      <w:pPr>
        <w:pBdr/>
        <w:spacing/>
        <w:ind/>
        <w:rPr/>
      </w:pPr>
      <w:r>
        <w:t xml:space="preserve">We are pleased to inform you about an exciting academic opportunity offered by Blue Europe, an independent non-profit think tank dedicated to strengthening dialogue and cooperation between Western, Central, and Eastern Europe.</w:t>
      </w:r>
      <w:r/>
    </w:p>
    <w:p>
      <w:pPr>
        <w:pBdr/>
        <w:spacing/>
        <w:ind/>
        <w:rPr/>
      </w:pPr>
      <w:r>
        <w:t xml:space="preserve">Blue Europe has officially launched the 2025–2026 “Alexis de Tocqueville” Contest, honoring the legacy of the renowned French political thinker Alexis de Tocqueville, whose work Democracy in America remains a cornerstone of modern democratic studies.</w:t>
      </w:r>
      <w:r/>
    </w:p>
    <w:p>
      <w:pPr>
        <w:pBdr/>
        <w:spacing/>
        <w:ind/>
        <w:rPr/>
      </w:pPr>
      <w:r>
        <w:t xml:space="preserve">T</w:t>
      </w:r>
      <w:r>
        <w:t xml:space="preserve">he competition invites Bachelor, Master, Doctoral students, as well as recent graduates (degree obtained after 2023), from the EU/EEA, UK, US, and Canada to submit original academic papers exploring the relationships between European regions, with a specia</w:t>
      </w:r>
      <w:r>
        <w:t xml:space="preserve">l focus on Central and Eastern Europe (CEE).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Topics may include (but are not limited to):</w:t>
      </w:r>
      <w:r>
        <w:rPr>
          <w:b/>
          <w:bCs/>
        </w:rPr>
      </w:r>
    </w:p>
    <w:p>
      <w:pPr>
        <w:pBdr/>
        <w:spacing/>
        <w:ind/>
        <w:rPr/>
      </w:pPr>
      <w:r>
        <w:t xml:space="preserve">·</w:t>
        <w:tab/>
        <w:t xml:space="preserve">Political Science &amp; Governance</w:t>
      </w:r>
      <w:r/>
    </w:p>
    <w:p>
      <w:pPr>
        <w:pBdr/>
        <w:spacing/>
        <w:ind/>
        <w:rPr/>
      </w:pPr>
      <w:r>
        <w:t xml:space="preserve">·</w:t>
        <w:tab/>
        <w:t xml:space="preserve">Industry and Technical Science Applications</w:t>
      </w:r>
      <w:r/>
    </w:p>
    <w:p>
      <w:pPr>
        <w:pBdr/>
        <w:spacing/>
        <w:ind/>
        <w:rPr/>
      </w:pPr>
      <w:r>
        <w:t xml:space="preserve">·</w:t>
        <w:tab/>
        <w:t xml:space="preserve">Economy, Trade &amp; Industry</w:t>
      </w:r>
      <w:r/>
    </w:p>
    <w:p>
      <w:pPr>
        <w:pBdr/>
        <w:spacing/>
        <w:ind/>
        <w:rPr/>
      </w:pPr>
      <w:r>
        <w:t xml:space="preserve">·</w:t>
        <w:tab/>
        <w:t xml:space="preserve">Innovation &amp; Technology</w:t>
      </w:r>
      <w:r/>
    </w:p>
    <w:p>
      <w:pPr>
        <w:pBdr/>
        <w:spacing/>
        <w:ind/>
        <w:rPr/>
      </w:pPr>
      <w:r>
        <w:t xml:space="preserve">·</w:t>
        <w:tab/>
        <w:t xml:space="preserve">Sociology, Law, Public Policy</w:t>
      </w:r>
      <w:r/>
    </w:p>
    <w:p>
      <w:pPr>
        <w:pBdr/>
        <w:spacing/>
        <w:ind/>
        <w:rPr/>
      </w:pPr>
      <w:r>
        <w:t xml:space="preserve">·</w:t>
        <w:tab/>
        <w:t xml:space="preserve">Climate Policy, Energy &amp; Sustainability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Awards</w:t>
      </w:r>
      <w:r>
        <w:rPr>
          <w:b/>
          <w:bCs/>
        </w:rPr>
      </w:r>
    </w:p>
    <w:p>
      <w:pPr>
        <w:pBdr/>
        <w:spacing/>
        <w:ind/>
        <w:rPr/>
      </w:pPr>
      <w:r>
        <w:t xml:space="preserve">Selected papers will be published on Blue Europe’s website, with a 2000e prize for the winner. 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Key Dates</w:t>
      </w:r>
      <w:r>
        <w:rPr>
          <w:b/>
          <w:bCs/>
        </w:rPr>
      </w:r>
    </w:p>
    <w:p>
      <w:pPr>
        <w:pBdr/>
        <w:spacing/>
        <w:ind/>
        <w:rPr/>
      </w:pPr>
      <w:r>
        <w:t xml:space="preserve">·</w:t>
        <w:tab/>
        <w:t xml:space="preserve">01 September 2025 – Contest begins</w:t>
      </w:r>
      <w:r/>
    </w:p>
    <w:p>
      <w:pPr>
        <w:pBdr/>
        <w:spacing/>
        <w:ind/>
        <w:rPr/>
      </w:pPr>
      <w:r>
        <w:t xml:space="preserve">·</w:t>
        <w:tab/>
        <w:t xml:space="preserve">31 March 2026 – Abstract submission deadline</w:t>
      </w:r>
      <w:r/>
    </w:p>
    <w:p>
      <w:pPr>
        <w:pBdr/>
        <w:spacing/>
        <w:ind/>
        <w:rPr/>
      </w:pPr>
      <w:r>
        <w:t xml:space="preserve">·</w:t>
        <w:tab/>
        <w:t xml:space="preserve">30 June 2026 – Final paper submission deadline</w:t>
      </w:r>
      <w:r/>
    </w:p>
    <w:p>
      <w:pPr>
        <w:pBdr/>
        <w:spacing/>
        <w:ind/>
        <w:rPr/>
      </w:pPr>
      <w:r>
        <w:t xml:space="preserve">·</w:t>
        <w:tab/>
        <w:t xml:space="preserve">31 August 2026 – Winners announced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Registration Instructions (Important)</w:t>
      </w:r>
      <w:r>
        <w:rPr>
          <w:b/>
          <w:bCs/>
        </w:rPr>
      </w:r>
    </w:p>
    <w:p>
      <w:pPr>
        <w:pBdr/>
        <w:spacing/>
        <w:ind/>
        <w:rPr/>
      </w:pPr>
      <w:r>
        <w:t xml:space="preserve">To register, you must send an email to:</w:t>
      </w:r>
      <w:r/>
    </w:p>
    <w:p>
      <w:pPr>
        <w:pBdr/>
        <w:spacing/>
        <w:ind/>
        <w:rPr/>
      </w:pPr>
      <w:r>
        <w:t xml:space="preserve">alexis2025[at]contest.blue-europe.eu</w:t>
      </w:r>
      <w:r/>
    </w:p>
    <w:p>
      <w:pPr>
        <w:pBdr/>
        <w:spacing/>
        <w:ind/>
        <w:rPr/>
      </w:pPr>
      <w:r>
        <w:t xml:space="preserve">With the subject line:</w:t>
      </w:r>
      <w:r/>
    </w:p>
    <w:p>
      <w:pPr>
        <w:pBdr/>
        <w:spacing/>
        <w:ind/>
        <w:rPr/>
      </w:pPr>
      <w:r>
        <w:t xml:space="preserve">“Registration for 2025-2026 competition”</w:t>
      </w:r>
      <w:r/>
    </w:p>
    <w:p>
      <w:pPr>
        <w:pBdr/>
        <w:spacing/>
        <w:ind/>
        <w:rPr/>
      </w:pPr>
      <w:r>
        <w:t xml:space="preserve">Your email must include, a 250–500 word abstract and a provisional title for your paper. Proof of academic enrolment or recent degree may also be required. Once your theme is accepted, you will receive the official registration URL.</w:t>
      </w:r>
      <w:r/>
    </w:p>
    <w:p>
      <w:pPr>
        <w:pBdr/>
        <w:spacing/>
        <w:ind/>
        <w:rPr/>
      </w:pPr>
      <w:r>
        <w:t xml:space="preserve">We strongly encourage interested students to take advantage of this excellent opportunity to showcase their research, gain visibility, and contribute to discussions on European affairs.</w:t>
      </w:r>
      <w:r/>
    </w:p>
    <w:p>
      <w:pPr>
        <w:pBdr/>
        <w:spacing/>
        <w:ind/>
        <w:rPr/>
      </w:pPr>
      <w:r>
        <w:t xml:space="preserve">For more details, please consult the full contest rules on Blue Europe’s website.</w:t>
      </w:r>
      <w:r/>
    </w:p>
    <w:p>
      <w:pPr>
        <w:pBdr/>
        <w:spacing/>
        <w:ind/>
        <w:rPr/>
      </w:pPr>
      <w:r>
        <w:t xml:space="preserve">Kind regards,</w:t>
      </w:r>
      <w:r/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682"/>
      <w:pBdr/>
      <w:spacing/>
      <w:ind/>
      <w:rPr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pBdr/>
      <w:spacing/>
      <w:ind/>
      <w:rPr/>
    </w:pPr>
    <w:r>
      <w:rPr>
        <w:highlight w:val="none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<wp:simplePos x="0" y="0"/>
              <wp:positionH relativeFrom="column">
                <wp:posOffset>5271040</wp:posOffset>
              </wp:positionH>
              <wp:positionV relativeFrom="paragraph">
                <wp:posOffset>-325877</wp:posOffset>
              </wp:positionV>
              <wp:extent cx="669385" cy="669385"/>
              <wp:effectExtent l="0" t="0" r="0" b="0"/>
              <wp:wrapNone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863433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669384" cy="6693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096;o:allowoverlap:true;o:allowincell:true;mso-position-horizontal-relative:text;margin-left:415.04pt;mso-position-horizontal:absolute;mso-position-vertical-relative:text;margin-top:-25.66pt;mso-position-vertical:absolute;width:52.71pt;height:52.71pt;mso-wrap-distance-left:9.07pt;mso-wrap-distance-top:0.00pt;mso-wrap-distance-right:9.07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</w:rPr>
    </w:r>
    <w:r>
      <w:rPr>
        <w:highlight w:val="none"/>
      </w:rPr>
    </w:r>
  </w:p>
  <w:p>
    <w:pPr>
      <w:pStyle w:val="680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</w:p>
  <w:p>
    <w:pPr>
      <w:pStyle w:val="680"/>
      <w:pBdr/>
      <w:spacing/>
      <w:ind/>
      <w:rPr>
        <w:highlight w:val="none"/>
      </w:rPr>
    </w:pPr>
    <w:r/>
    <w:r/>
    <w:r/>
    <w:r/>
    <w:r/>
    <w:r/>
    <w:r/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2026-02-03T09:57:34Z</dcterms:modified>
</cp:coreProperties>
</file>