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106C9" w14:textId="77777777" w:rsidR="00BE7BF0" w:rsidRPr="008D4C61" w:rsidRDefault="00BE7BF0" w:rsidP="00BE7BF0">
      <w:pPr>
        <w:jc w:val="center"/>
        <w:rPr>
          <w:rFonts w:ascii="Rubik" w:hAnsi="Rubik" w:cs="Rubik"/>
          <w:sz w:val="22"/>
          <w:szCs w:val="22"/>
          <w:u w:val="single"/>
          <w:lang w:val="it-IT"/>
        </w:rPr>
      </w:pPr>
      <w:r w:rsidRPr="00BE7BF0">
        <w:rPr>
          <w:rFonts w:ascii="Rubik" w:hAnsi="Rubik" w:cs="Rubik" w:hint="cs"/>
          <w:sz w:val="22"/>
          <w:szCs w:val="22"/>
          <w:u w:val="single"/>
          <w:lang w:val="it-IT"/>
        </w:rPr>
        <w:t>COMUNICATO STAMPA</w:t>
      </w:r>
    </w:p>
    <w:p w14:paraId="044FEBEE" w14:textId="77777777" w:rsidR="00BE7BF0" w:rsidRPr="00BE7BF0" w:rsidRDefault="00BE7BF0" w:rsidP="00BE7BF0">
      <w:pPr>
        <w:jc w:val="center"/>
        <w:rPr>
          <w:rFonts w:ascii="Rubik" w:hAnsi="Rubik" w:cs="Rubik"/>
          <w:u w:val="single"/>
          <w:lang w:val="it-IT"/>
        </w:rPr>
      </w:pPr>
    </w:p>
    <w:p w14:paraId="33CE3CD0" w14:textId="017BFA46" w:rsidR="00BE7BF0" w:rsidRPr="002878D5" w:rsidRDefault="00BE7BF0" w:rsidP="00BE7BF0">
      <w:pPr>
        <w:jc w:val="center"/>
        <w:rPr>
          <w:rFonts w:ascii="Rubik" w:hAnsi="Rubik" w:cs="Rubik"/>
          <w:b/>
          <w:bCs/>
          <w:sz w:val="23"/>
          <w:szCs w:val="23"/>
          <w:lang w:val="it-IT"/>
        </w:rPr>
      </w:pPr>
      <w:r w:rsidRPr="002878D5">
        <w:rPr>
          <w:rFonts w:ascii="Rubik" w:hAnsi="Rubik" w:cs="Rubik" w:hint="cs"/>
          <w:b/>
          <w:bCs/>
          <w:sz w:val="23"/>
          <w:szCs w:val="23"/>
          <w:lang w:val="it-IT"/>
        </w:rPr>
        <w:t>NELLE IMPRESE FAMILIARI L’INNOVAZIONE PASSA DAL VERTICE:</w:t>
      </w:r>
      <w:r w:rsidRPr="002878D5">
        <w:rPr>
          <w:rFonts w:ascii="Rubik" w:hAnsi="Rubik" w:cs="Rubik"/>
          <w:b/>
          <w:bCs/>
          <w:sz w:val="23"/>
          <w:szCs w:val="23"/>
          <w:lang w:val="it-IT"/>
        </w:rPr>
        <w:br/>
      </w:r>
      <w:r w:rsidRPr="002878D5">
        <w:rPr>
          <w:rFonts w:ascii="Rubik" w:hAnsi="Rubik" w:cs="Rubik" w:hint="cs"/>
          <w:b/>
          <w:bCs/>
          <w:sz w:val="23"/>
          <w:szCs w:val="23"/>
          <w:lang w:val="it-IT"/>
        </w:rPr>
        <w:t>DECISIVI COMPOSIZIONE DEL MANAGEMENT E QUALITÀ DEL CONFRONTO INTERNO</w:t>
      </w:r>
    </w:p>
    <w:p w14:paraId="1D3D7D98" w14:textId="77777777" w:rsidR="00BE7BF0" w:rsidRPr="00BE7BF0" w:rsidRDefault="00BE7BF0" w:rsidP="00BE7BF0">
      <w:pPr>
        <w:jc w:val="center"/>
        <w:rPr>
          <w:rFonts w:ascii="Rubik" w:hAnsi="Rubik" w:cs="Rubik"/>
          <w:b/>
          <w:bCs/>
          <w:lang w:val="it-IT"/>
        </w:rPr>
      </w:pPr>
    </w:p>
    <w:p w14:paraId="09FFD1B4" w14:textId="2A609DD8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  <w:r w:rsidRPr="00BE7BF0">
        <w:rPr>
          <w:rFonts w:ascii="Rubik" w:hAnsi="Rubik" w:cs="Rubik"/>
          <w:i/>
          <w:iCs/>
          <w:sz w:val="22"/>
          <w:szCs w:val="22"/>
          <w:lang w:val="it-IT"/>
        </w:rPr>
        <w:t>Bergamo, 1</w:t>
      </w:r>
      <w:r>
        <w:rPr>
          <w:rFonts w:ascii="Rubik" w:hAnsi="Rubik" w:cs="Rubik"/>
          <w:i/>
          <w:iCs/>
          <w:sz w:val="22"/>
          <w:szCs w:val="22"/>
          <w:lang w:val="it-IT"/>
        </w:rPr>
        <w:t>3</w:t>
      </w:r>
      <w:r w:rsidRPr="00BE7BF0">
        <w:rPr>
          <w:rFonts w:ascii="Rubik" w:hAnsi="Rubik" w:cs="Rubik"/>
          <w:i/>
          <w:iCs/>
          <w:sz w:val="22"/>
          <w:szCs w:val="22"/>
          <w:lang w:val="it-IT"/>
        </w:rPr>
        <w:t xml:space="preserve"> marzo 2026</w:t>
      </w:r>
      <w:r>
        <w:rPr>
          <w:rFonts w:ascii="Rubik" w:hAnsi="Rubik" w:cs="Rubik"/>
          <w:sz w:val="22"/>
          <w:szCs w:val="22"/>
          <w:lang w:val="it-IT"/>
        </w:rPr>
        <w:t xml:space="preserve"> – 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Un nuovo studio accademico riapre il dibattito sul cosiddetto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paradosso della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“capacità rispetto alla volontà di innovare” nelle imprese familiari</w:t>
      </w:r>
      <w:r w:rsidRPr="00BE7BF0">
        <w:rPr>
          <w:rFonts w:ascii="Rubik" w:hAnsi="Rubik" w:cs="Rubik" w:hint="cs"/>
          <w:sz w:val="22"/>
          <w:szCs w:val="22"/>
          <w:lang w:val="it-IT"/>
        </w:rPr>
        <w:t>: aziende che dispongono delle risorse per innovare ma che</w:t>
      </w:r>
      <w:r>
        <w:rPr>
          <w:rFonts w:ascii="Rubik" w:hAnsi="Rubik" w:cs="Rubik"/>
          <w:sz w:val="22"/>
          <w:szCs w:val="22"/>
          <w:lang w:val="it-IT"/>
        </w:rPr>
        <w:t>,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non sempre</w:t>
      </w:r>
      <w:r>
        <w:rPr>
          <w:rFonts w:ascii="Rubik" w:hAnsi="Rubik" w:cs="Rubik"/>
          <w:sz w:val="22"/>
          <w:szCs w:val="22"/>
          <w:lang w:val="it-IT"/>
        </w:rPr>
        <w:t>,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manifestano la stessa propensione a farlo.</w:t>
      </w:r>
    </w:p>
    <w:p w14:paraId="61285C5C" w14:textId="77777777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361CAD93" w14:textId="0931153B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  <w:r w:rsidRPr="00BE7BF0">
        <w:rPr>
          <w:rFonts w:ascii="Rubik" w:hAnsi="Rubik" w:cs="Rubik" w:hint="cs"/>
          <w:sz w:val="22"/>
          <w:szCs w:val="22"/>
          <w:lang w:val="it-IT"/>
        </w:rPr>
        <w:t xml:space="preserve">La ricerca, pubblicata sul </w:t>
      </w:r>
      <w:r w:rsidRPr="00BE7BF0"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  <w:t>Journal of Product Innovation Management</w:t>
      </w:r>
      <w:r w:rsidR="00FD4B89" w:rsidRPr="00BE7BF0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Pr="00BE7BF0">
        <w:rPr>
          <w:rFonts w:ascii="Rubik" w:hAnsi="Rubik" w:cs="Rubik" w:hint="cs"/>
          <w:sz w:val="22"/>
          <w:szCs w:val="22"/>
          <w:lang w:val="it-IT"/>
        </w:rPr>
        <w:t>e firmata da Paola Rovelli della Libera Università di Bolzano, Marco Mismetti della Stockholm School of Economics e dalle professoresse Cristina Bettinelli e Mara Bergamaschi dell’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 xml:space="preserve">Università degli </w:t>
      </w:r>
      <w:r>
        <w:rPr>
          <w:rFonts w:ascii="Rubik" w:hAnsi="Rubik" w:cs="Rubik"/>
          <w:b/>
          <w:bCs/>
          <w:sz w:val="22"/>
          <w:szCs w:val="22"/>
          <w:lang w:val="it-IT"/>
        </w:rPr>
        <w:t>s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tudi di Bergamo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, sposta l’attenzione dal “quanto” si innova al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“perché” le imprese decidono di innovare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, analizzando i fattori che alimentano </w:t>
      </w:r>
      <w:r>
        <w:rPr>
          <w:rFonts w:ascii="Rubik" w:hAnsi="Rubik" w:cs="Rubik"/>
          <w:sz w:val="22"/>
          <w:szCs w:val="22"/>
          <w:lang w:val="it-IT"/>
        </w:rPr>
        <w:t>–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o frenano </w:t>
      </w:r>
      <w:r>
        <w:rPr>
          <w:rFonts w:ascii="Rubik" w:hAnsi="Rubik" w:cs="Rubik"/>
          <w:sz w:val="22"/>
          <w:szCs w:val="22"/>
          <w:lang w:val="it-IT"/>
        </w:rPr>
        <w:t>–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la volontà di attivare processi innovativi.</w:t>
      </w:r>
    </w:p>
    <w:p w14:paraId="21D44088" w14:textId="77777777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053BA950" w14:textId="33B1CC6C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  <w:r w:rsidRPr="00BE7BF0">
        <w:rPr>
          <w:rFonts w:ascii="Rubik" w:hAnsi="Rubik" w:cs="Rubik" w:hint="cs"/>
          <w:sz w:val="22"/>
          <w:szCs w:val="22"/>
          <w:lang w:val="it-IT"/>
        </w:rPr>
        <w:t xml:space="preserve">Al centro dell’analisi c’è il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top management team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, ovvero il gruppo dirigente responsabile delle principali decisioni strategiche, incluse quelle legate all’innovazione. Lo studio prende in esame due variabili chiave: da un lato la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diversità funzionale del team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</w:t>
      </w:r>
      <w:r>
        <w:rPr>
          <w:rFonts w:ascii="Rubik" w:hAnsi="Rubik" w:cs="Rubik"/>
          <w:sz w:val="22"/>
          <w:szCs w:val="22"/>
          <w:lang w:val="it-IT"/>
        </w:rPr>
        <w:t>–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cioè l’eterogeneità di competenze ed esperienze professionali dei manager (finanza, marketing, ricerca e sviluppo) </w:t>
      </w:r>
      <w:r>
        <w:rPr>
          <w:rFonts w:ascii="Rubik" w:hAnsi="Rubik" w:cs="Rubik"/>
          <w:sz w:val="22"/>
          <w:szCs w:val="22"/>
          <w:lang w:val="it-IT"/>
        </w:rPr>
        <w:t>–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e dall’altro il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livello di dialogo e confronto aperto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tra i membri del gruppo.</w:t>
      </w:r>
    </w:p>
    <w:p w14:paraId="61D1F69E" w14:textId="77777777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5A521243" w14:textId="4045A7C4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  <w:r w:rsidRPr="00BE7BF0">
        <w:rPr>
          <w:rFonts w:ascii="Rubik" w:hAnsi="Rubik" w:cs="Rubik" w:hint="cs"/>
          <w:sz w:val="22"/>
          <w:szCs w:val="22"/>
          <w:lang w:val="it-IT"/>
        </w:rPr>
        <w:t xml:space="preserve">I risultati si basano su un’indagine condotta su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393 imprese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, rappresentativa </w:t>
      </w:r>
      <w:r w:rsidR="00B04E87">
        <w:rPr>
          <w:rFonts w:ascii="Rubik" w:hAnsi="Rubik" w:cs="Rubik"/>
          <w:sz w:val="22"/>
          <w:szCs w:val="22"/>
          <w:lang w:val="it-IT"/>
        </w:rPr>
        <w:t>della popolazione di piccole e medie imprese italiane (da 10 a 500 dipendenti).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. L’analisi evidenzia che la diversità funzionale del </w:t>
      </w:r>
      <w:r w:rsidR="00B04E87">
        <w:rPr>
          <w:rFonts w:ascii="Rubik" w:hAnsi="Rubik" w:cs="Rubik"/>
          <w:sz w:val="22"/>
          <w:szCs w:val="22"/>
          <w:lang w:val="it-IT"/>
        </w:rPr>
        <w:t xml:space="preserve">team dirigenziale 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raggiunge in media </w:t>
      </w:r>
      <w:r w:rsidR="00B04E87">
        <w:rPr>
          <w:rFonts w:ascii="Rubik" w:hAnsi="Rubik" w:cs="Rubik"/>
          <w:sz w:val="22"/>
          <w:szCs w:val="22"/>
          <w:lang w:val="it-IT"/>
        </w:rPr>
        <w:t xml:space="preserve">di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3,29</w:t>
      </w:r>
      <w:r w:rsidR="00B04E87">
        <w:rPr>
          <w:rFonts w:ascii="Rubik" w:hAnsi="Rubik" w:cs="Rubik"/>
          <w:b/>
          <w:bCs/>
          <w:sz w:val="22"/>
          <w:szCs w:val="22"/>
          <w:lang w:val="it-IT"/>
        </w:rPr>
        <w:t xml:space="preserve"> punti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 xml:space="preserve"> su 4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ed è fortemente associata alla volontà di innovare. Nel campione analizzato l’intenzione media di innovare è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4,04 su 5</w:t>
      </w:r>
      <w:r w:rsidRPr="00BE7BF0">
        <w:rPr>
          <w:rFonts w:ascii="Rubik" w:hAnsi="Rubik" w:cs="Rubik" w:hint="cs"/>
          <w:sz w:val="22"/>
          <w:szCs w:val="22"/>
          <w:lang w:val="it-IT"/>
        </w:rPr>
        <w:t>, ma nelle imprese familiari risulta sistematicamente più bassa.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In particolare,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il 41% del divario rispetto alle imprese non familiari è spiegato dalla minore diversità funzionale dei team dirigenziali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. In sostanza, gruppi manageriali più omogenei in termini di background e competenze </w:t>
      </w:r>
      <w:r>
        <w:rPr>
          <w:rFonts w:ascii="Rubik" w:hAnsi="Rubik" w:cs="Rubik"/>
          <w:sz w:val="22"/>
          <w:szCs w:val="22"/>
          <w:lang w:val="it-IT"/>
        </w:rPr>
        <w:t>–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e quindi caratterizzati da un orizzonte più limitato di conoscenze e informazioni </w:t>
      </w:r>
      <w:r>
        <w:rPr>
          <w:rFonts w:ascii="Rubik" w:hAnsi="Rubik" w:cs="Rubik"/>
          <w:sz w:val="22"/>
          <w:szCs w:val="22"/>
          <w:lang w:val="it-IT"/>
        </w:rPr>
        <w:t>–</w:t>
      </w:r>
      <w:r w:rsidRPr="00BE7BF0">
        <w:rPr>
          <w:rFonts w:ascii="Rubik" w:hAnsi="Rubik" w:cs="Rubik" w:hint="cs"/>
          <w:sz w:val="22"/>
          <w:szCs w:val="22"/>
          <w:lang w:val="it-IT"/>
        </w:rPr>
        <w:t xml:space="preserve"> tendono a essere meno propensi al rischio e al cambiamento, mostrando una minore intenzionalità innovativa.</w:t>
      </w:r>
    </w:p>
    <w:p w14:paraId="22DEC24B" w14:textId="77777777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199380FD" w14:textId="77777777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  <w:r w:rsidRPr="00BE7BF0">
        <w:rPr>
          <w:rFonts w:ascii="Rubik" w:hAnsi="Rubik" w:cs="Rubik" w:hint="cs"/>
          <w:sz w:val="22"/>
          <w:szCs w:val="22"/>
          <w:lang w:val="it-IT"/>
        </w:rPr>
        <w:t xml:space="preserve">La ricerca evidenzia inoltre che la sola diversità non è sufficiente. Nelle imprese familiari l’impatto positivo di un team dirigenziale eterogeneo sulla volontà di innovare si rafforza quando è accompagnato da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un elevato livello di dialogo e discussione aperta</w:t>
      </w:r>
      <w:r w:rsidRPr="00BE7BF0">
        <w:rPr>
          <w:rFonts w:ascii="Rubik" w:hAnsi="Rubik" w:cs="Rubik" w:hint="cs"/>
          <w:sz w:val="22"/>
          <w:szCs w:val="22"/>
          <w:lang w:val="it-IT"/>
        </w:rPr>
        <w:t>, ovvero da un clima in cui i membri del gruppo si sentono legittimati a esprimere opinioni diverse, sollevare dubbi e confrontarsi in modo costruttivo.</w:t>
      </w:r>
    </w:p>
    <w:p w14:paraId="153C05A4" w14:textId="77777777" w:rsidR="00BE7BF0" w:rsidRP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5F1719BF" w14:textId="71CC5346" w:rsidR="00BE7BF0" w:rsidRDefault="00BE7BF0" w:rsidP="00BE7BF0">
      <w:pPr>
        <w:jc w:val="both"/>
        <w:rPr>
          <w:rFonts w:ascii="Rubik" w:hAnsi="Rubik" w:cs="Rubik"/>
          <w:sz w:val="22"/>
          <w:szCs w:val="22"/>
          <w:lang w:val="it-IT"/>
        </w:rPr>
      </w:pPr>
      <w:r w:rsidRPr="00BE7BF0">
        <w:rPr>
          <w:rFonts w:ascii="Rubik" w:hAnsi="Rubik" w:cs="Rubik" w:hint="cs"/>
          <w:sz w:val="22"/>
          <w:szCs w:val="22"/>
          <w:lang w:val="it-IT"/>
        </w:rPr>
        <w:t xml:space="preserve">Dal punto di vista manageriale, le implicazioni sono particolarmente rilevanti per le imprese familiari, spesso impegnate a gestire passaggi generazionali e sfide competitive sempre più complesse. Secondo lo studio, </w:t>
      </w:r>
      <w:r w:rsidRPr="00BE7BF0">
        <w:rPr>
          <w:rFonts w:ascii="Rubik" w:hAnsi="Rubik" w:cs="Rubik" w:hint="cs"/>
          <w:b/>
          <w:bCs/>
          <w:sz w:val="22"/>
          <w:szCs w:val="22"/>
          <w:lang w:val="it-IT"/>
        </w:rPr>
        <w:t>per colmare il divario tra capacità e volontà innovativa non è sufficiente investire in tecnologia o risorse finanziarie</w:t>
      </w:r>
      <w:r w:rsidRPr="00BE7BF0">
        <w:rPr>
          <w:rFonts w:ascii="Rubik" w:hAnsi="Rubik" w:cs="Rubik" w:hint="cs"/>
          <w:sz w:val="22"/>
          <w:szCs w:val="22"/>
          <w:lang w:val="it-IT"/>
        </w:rPr>
        <w:t>: diventa cruciale intervenire sull’assetto del vertice aziendale. Ampliare la composizione funzionale del gruppo dirigente e favorire una cultura del confronto interno possono rappresentare leve strategiche decisive per sostenere i processi di innovazione.</w:t>
      </w:r>
    </w:p>
    <w:p w14:paraId="0F6FB34A" w14:textId="77777777" w:rsidR="00FD4B89" w:rsidRDefault="00FD4B89" w:rsidP="00BE7BF0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1DEBC437" w14:textId="3B7120A8" w:rsidR="00FD4B89" w:rsidRPr="00BE7BF0" w:rsidRDefault="00FD4B89" w:rsidP="00BE7BF0">
      <w:pPr>
        <w:jc w:val="both"/>
        <w:rPr>
          <w:rFonts w:ascii="Rubik" w:hAnsi="Rubik" w:cs="Rubik"/>
          <w:sz w:val="22"/>
          <w:szCs w:val="22"/>
          <w:lang w:val="it-IT"/>
        </w:rPr>
      </w:pPr>
      <w:r>
        <w:rPr>
          <w:rFonts w:ascii="Rubik" w:hAnsi="Rubik" w:cs="Rubik"/>
          <w:sz w:val="22"/>
          <w:szCs w:val="22"/>
          <w:lang w:val="it-IT"/>
        </w:rPr>
        <w:t>La ricerca è disponibile a questo link</w:t>
      </w:r>
      <w:r w:rsidRPr="00FD4B89">
        <w:rPr>
          <w:rFonts w:ascii="Rubik" w:hAnsi="Rubik" w:cs="Rubik"/>
          <w:sz w:val="22"/>
          <w:szCs w:val="22"/>
          <w:lang w:val="it-IT"/>
        </w:rPr>
        <w:t> </w:t>
      </w:r>
      <w:hyperlink r:id="rId8" w:tgtFrame="_blank" w:history="1">
        <w:r w:rsidRPr="00FD4B89">
          <w:rPr>
            <w:rFonts w:ascii="Rubik" w:hAnsi="Rubik" w:cs="Rubik"/>
            <w:sz w:val="22"/>
            <w:szCs w:val="22"/>
            <w:lang w:val="it-IT"/>
          </w:rPr>
          <w:t>https://onlinelibrary.wiley.com/doi/10.1111/j</w:t>
        </w:r>
        <w:r w:rsidRPr="00FD4B89">
          <w:rPr>
            <w:rFonts w:ascii="Rubik" w:hAnsi="Rubik" w:cs="Rubik"/>
            <w:sz w:val="22"/>
            <w:szCs w:val="22"/>
            <w:lang w:val="it-IT"/>
          </w:rPr>
          <w:t>p</w:t>
        </w:r>
        <w:r w:rsidRPr="00FD4B89">
          <w:rPr>
            <w:rFonts w:ascii="Rubik" w:hAnsi="Rubik" w:cs="Rubik"/>
            <w:sz w:val="22"/>
            <w:szCs w:val="22"/>
            <w:lang w:val="it-IT"/>
          </w:rPr>
          <w:t>im.12808</w:t>
        </w:r>
      </w:hyperlink>
    </w:p>
    <w:sectPr w:rsidR="00FD4B89" w:rsidRPr="00BE7BF0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4AAB6" w14:textId="77777777" w:rsidR="000839A7" w:rsidRDefault="000839A7">
      <w:r>
        <w:separator/>
      </w:r>
    </w:p>
  </w:endnote>
  <w:endnote w:type="continuationSeparator" w:id="0">
    <w:p w14:paraId="4F7DB66F" w14:textId="77777777" w:rsidR="000839A7" w:rsidRDefault="0008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BF68A30-836D-904E-A814-7214C0C94A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3C84C1-31A0-7946-9A1D-7D9F0B714921}"/>
    <w:embedBold r:id="rId3" w:fontKey="{31E9982B-6535-6B47-A928-0E54412C42C5}"/>
    <w:embedItalic r:id="rId4" w:fontKey="{A2D6285C-02F3-1943-9D08-7AC0C7E4C211}"/>
    <w:embedBoldItalic r:id="rId5" w:fontKey="{22A4B165-0EEA-AF40-9B7A-F66218DF56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1C58884-F57D-7244-9D17-F61AEF1E249E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C680C94E-11CE-6E4E-B1C1-F9E0BCA02AF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DD389B20-0C39-4F40-B981-F2383ED8B4B7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377F1DE-0F4C-5C44-B560-6481433835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9A2A5424-EA19-0B4B-A942-68C16400445B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2" w:fontKey="{E32512B5-216A-5A47-B73E-171E3CABC3A9}"/>
    <w:embedBold r:id="rId13" w:fontKey="{4B498BBA-2640-5041-BE96-FB65E4CE7C74}"/>
    <w:embedItalic r:id="rId14" w:fontKey="{F9FE44C2-2108-3C4A-B749-786E301C3BA3}"/>
    <w:embedBoldItalic r:id="rId15" w:fontKey="{8BC68EF2-EA19-754A-91E9-6342210ABDA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089A7822-B67B-E84F-B774-2119CA51E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E3E2F" w14:textId="77777777" w:rsidR="000839A7" w:rsidRDefault="000839A7">
      <w:r>
        <w:separator/>
      </w:r>
    </w:p>
  </w:footnote>
  <w:footnote w:type="continuationSeparator" w:id="0">
    <w:p w14:paraId="00DB8EA2" w14:textId="77777777" w:rsidR="000839A7" w:rsidRDefault="00083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839A7">
      <w:rPr>
        <w:rFonts w:ascii="Calibri" w:eastAsia="Calibri" w:hAnsi="Calibri" w:cs="Calibri"/>
        <w:color w:val="000000"/>
      </w:rPr>
      <w:pict w14:anchorId="2FD517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0839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5C5B53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839A7">
      <w:rPr>
        <w:rFonts w:ascii="Calibri" w:eastAsia="Calibri" w:hAnsi="Calibri" w:cs="Calibri"/>
        <w:color w:val="000000"/>
      </w:rPr>
      <w:pict w14:anchorId="43F2A0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B7116"/>
    <w:multiLevelType w:val="multilevel"/>
    <w:tmpl w:val="4654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9932ED"/>
    <w:multiLevelType w:val="hybridMultilevel"/>
    <w:tmpl w:val="E154F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53D8D"/>
    <w:multiLevelType w:val="hybridMultilevel"/>
    <w:tmpl w:val="0FDCC5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317772">
    <w:abstractNumId w:val="0"/>
  </w:num>
  <w:num w:numId="2" w16cid:durableId="1260135860">
    <w:abstractNumId w:val="1"/>
  </w:num>
  <w:num w:numId="3" w16cid:durableId="1320504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17646"/>
    <w:rsid w:val="00020503"/>
    <w:rsid w:val="00021872"/>
    <w:rsid w:val="00035EF7"/>
    <w:rsid w:val="00051254"/>
    <w:rsid w:val="00063B0A"/>
    <w:rsid w:val="000772BB"/>
    <w:rsid w:val="000839A7"/>
    <w:rsid w:val="00083FC6"/>
    <w:rsid w:val="000931BC"/>
    <w:rsid w:val="000B6EDB"/>
    <w:rsid w:val="000E0F82"/>
    <w:rsid w:val="001311F7"/>
    <w:rsid w:val="0015143F"/>
    <w:rsid w:val="001576FF"/>
    <w:rsid w:val="001648D2"/>
    <w:rsid w:val="001700D7"/>
    <w:rsid w:val="001849CC"/>
    <w:rsid w:val="001E56F8"/>
    <w:rsid w:val="0020284D"/>
    <w:rsid w:val="00245D16"/>
    <w:rsid w:val="002878D5"/>
    <w:rsid w:val="00291095"/>
    <w:rsid w:val="002A43EC"/>
    <w:rsid w:val="002C1F04"/>
    <w:rsid w:val="002C25A2"/>
    <w:rsid w:val="002D11F5"/>
    <w:rsid w:val="002D678F"/>
    <w:rsid w:val="002E1BD6"/>
    <w:rsid w:val="002E3002"/>
    <w:rsid w:val="003018D9"/>
    <w:rsid w:val="0031010C"/>
    <w:rsid w:val="00341368"/>
    <w:rsid w:val="003821E4"/>
    <w:rsid w:val="00391683"/>
    <w:rsid w:val="003B3FF0"/>
    <w:rsid w:val="003F7EC2"/>
    <w:rsid w:val="004046AC"/>
    <w:rsid w:val="00443E99"/>
    <w:rsid w:val="00462687"/>
    <w:rsid w:val="004A1F18"/>
    <w:rsid w:val="004B1F58"/>
    <w:rsid w:val="004D007A"/>
    <w:rsid w:val="00511FB8"/>
    <w:rsid w:val="00543333"/>
    <w:rsid w:val="00543BDD"/>
    <w:rsid w:val="00581F60"/>
    <w:rsid w:val="005826C2"/>
    <w:rsid w:val="005879DB"/>
    <w:rsid w:val="00597D72"/>
    <w:rsid w:val="005D10A5"/>
    <w:rsid w:val="00610247"/>
    <w:rsid w:val="006316F8"/>
    <w:rsid w:val="00631A0B"/>
    <w:rsid w:val="006334AF"/>
    <w:rsid w:val="006410E0"/>
    <w:rsid w:val="00646BD3"/>
    <w:rsid w:val="006578A1"/>
    <w:rsid w:val="00666CC6"/>
    <w:rsid w:val="006C051F"/>
    <w:rsid w:val="00703FD2"/>
    <w:rsid w:val="00712BCA"/>
    <w:rsid w:val="007341C9"/>
    <w:rsid w:val="007665CA"/>
    <w:rsid w:val="007728DB"/>
    <w:rsid w:val="007B0351"/>
    <w:rsid w:val="008024E7"/>
    <w:rsid w:val="00806836"/>
    <w:rsid w:val="0081365C"/>
    <w:rsid w:val="008517A4"/>
    <w:rsid w:val="008734C1"/>
    <w:rsid w:val="0087536F"/>
    <w:rsid w:val="008972FB"/>
    <w:rsid w:val="008A0C22"/>
    <w:rsid w:val="008C1C3C"/>
    <w:rsid w:val="008D4C61"/>
    <w:rsid w:val="008E0FC4"/>
    <w:rsid w:val="008F57AD"/>
    <w:rsid w:val="009015D8"/>
    <w:rsid w:val="00920A05"/>
    <w:rsid w:val="00930C37"/>
    <w:rsid w:val="009646FC"/>
    <w:rsid w:val="009872CD"/>
    <w:rsid w:val="0099043C"/>
    <w:rsid w:val="00990F43"/>
    <w:rsid w:val="00993054"/>
    <w:rsid w:val="009F7777"/>
    <w:rsid w:val="00A10AB7"/>
    <w:rsid w:val="00A136CB"/>
    <w:rsid w:val="00A13867"/>
    <w:rsid w:val="00A23AA0"/>
    <w:rsid w:val="00A2468D"/>
    <w:rsid w:val="00A36DFB"/>
    <w:rsid w:val="00A37F42"/>
    <w:rsid w:val="00A64CFC"/>
    <w:rsid w:val="00A65E90"/>
    <w:rsid w:val="00A701DD"/>
    <w:rsid w:val="00A73958"/>
    <w:rsid w:val="00AA7C52"/>
    <w:rsid w:val="00AC38AE"/>
    <w:rsid w:val="00AC4DB9"/>
    <w:rsid w:val="00AF29EA"/>
    <w:rsid w:val="00B04E87"/>
    <w:rsid w:val="00B16076"/>
    <w:rsid w:val="00B534B9"/>
    <w:rsid w:val="00B749D2"/>
    <w:rsid w:val="00BB7AA9"/>
    <w:rsid w:val="00BE7BF0"/>
    <w:rsid w:val="00BF4557"/>
    <w:rsid w:val="00C32865"/>
    <w:rsid w:val="00C7361B"/>
    <w:rsid w:val="00C939F2"/>
    <w:rsid w:val="00CB4229"/>
    <w:rsid w:val="00CB69D5"/>
    <w:rsid w:val="00D02D1D"/>
    <w:rsid w:val="00D13681"/>
    <w:rsid w:val="00D329AF"/>
    <w:rsid w:val="00D55754"/>
    <w:rsid w:val="00D8281A"/>
    <w:rsid w:val="00D840A9"/>
    <w:rsid w:val="00D9173B"/>
    <w:rsid w:val="00D91FD6"/>
    <w:rsid w:val="00DA7163"/>
    <w:rsid w:val="00DB490C"/>
    <w:rsid w:val="00DF43DA"/>
    <w:rsid w:val="00E30093"/>
    <w:rsid w:val="00E3291D"/>
    <w:rsid w:val="00E53260"/>
    <w:rsid w:val="00E752A6"/>
    <w:rsid w:val="00EB4A81"/>
    <w:rsid w:val="00EE51CF"/>
    <w:rsid w:val="00F54606"/>
    <w:rsid w:val="00F85EF3"/>
    <w:rsid w:val="00FA334F"/>
    <w:rsid w:val="00FA3B46"/>
    <w:rsid w:val="00FA673D"/>
    <w:rsid w:val="00FB0F33"/>
    <w:rsid w:val="00FC79B3"/>
    <w:rsid w:val="00FD4B89"/>
    <w:rsid w:val="00FE4802"/>
    <w:rsid w:val="00FF73A2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whitespace-normal">
    <w:name w:val="whitespace-normal"/>
    <w:basedOn w:val="Carpredefinitoparagrafo"/>
    <w:rsid w:val="0089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library.wiley.com/doi/10.1111/jpim.1280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4</cp:revision>
  <dcterms:created xsi:type="dcterms:W3CDTF">2026-03-12T15:16:00Z</dcterms:created>
  <dcterms:modified xsi:type="dcterms:W3CDTF">2026-03-13T08:46:00Z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