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254D9" w14:textId="35D585C9" w:rsidR="00864E17" w:rsidRPr="004F0762" w:rsidRDefault="00864E17" w:rsidP="00F35569">
      <w:pPr>
        <w:jc w:val="center"/>
        <w:rPr>
          <w:rFonts w:ascii="Rubik" w:hAnsi="Rubik" w:cs="Rubik"/>
          <w:sz w:val="22"/>
          <w:szCs w:val="22"/>
          <w:u w:val="single"/>
        </w:rPr>
      </w:pPr>
      <w:r w:rsidRPr="004F0762">
        <w:rPr>
          <w:rFonts w:ascii="Rubik" w:hAnsi="Rubik" w:cs="Rubik" w:hint="cs"/>
          <w:sz w:val="22"/>
          <w:szCs w:val="22"/>
          <w:u w:val="single"/>
        </w:rPr>
        <w:t>COMUNICATO STAMPA</w:t>
      </w:r>
    </w:p>
    <w:p w14:paraId="09E728B2" w14:textId="77777777" w:rsidR="00864E17" w:rsidRPr="004F0762" w:rsidRDefault="00864E17" w:rsidP="00864E17">
      <w:pPr>
        <w:jc w:val="center"/>
        <w:rPr>
          <w:rFonts w:ascii="Rubik" w:hAnsi="Rubik" w:cs="Rubik"/>
          <w:sz w:val="22"/>
          <w:szCs w:val="22"/>
          <w:u w:val="single"/>
        </w:rPr>
      </w:pPr>
    </w:p>
    <w:p w14:paraId="575907F9" w14:textId="5B5D4894" w:rsidR="00864E17" w:rsidRDefault="00964BC6" w:rsidP="00964BC6">
      <w:pPr>
        <w:jc w:val="center"/>
        <w:rPr>
          <w:rFonts w:ascii="Rubik" w:hAnsi="Rubik" w:cs="Rubik"/>
          <w:b/>
          <w:bCs/>
        </w:rPr>
      </w:pPr>
      <w:r w:rsidRPr="00964BC6">
        <w:rPr>
          <w:rFonts w:ascii="Rubik" w:hAnsi="Rubik" w:cs="Rubik"/>
          <w:b/>
          <w:bCs/>
        </w:rPr>
        <w:t xml:space="preserve">VQR 2020–2024: L’UNIVERSITÀ DI BERGAMO SOPRA LA MEDIA NAZIONALE, ECCELLENZA NELLA VALORIZZAZIONE DELLA </w:t>
      </w:r>
      <w:r>
        <w:rPr>
          <w:rFonts w:ascii="Rubik" w:hAnsi="Rubik" w:cs="Rubik"/>
          <w:b/>
          <w:bCs/>
        </w:rPr>
        <w:t>CONOSCENZA</w:t>
      </w:r>
      <w:r w:rsidRPr="00964BC6">
        <w:rPr>
          <w:rFonts w:ascii="Rubik" w:hAnsi="Rubik" w:cs="Rubik"/>
          <w:b/>
          <w:bCs/>
        </w:rPr>
        <w:t xml:space="preserve"> E FORTE LEGAME CON IL TERRITORIO</w:t>
      </w:r>
    </w:p>
    <w:p w14:paraId="66339419" w14:textId="77777777" w:rsidR="00964BC6" w:rsidRPr="004F0762" w:rsidRDefault="00964BC6" w:rsidP="00864E17">
      <w:pPr>
        <w:jc w:val="both"/>
        <w:rPr>
          <w:rFonts w:ascii="Rubik" w:hAnsi="Rubik" w:cs="Rubik"/>
          <w:sz w:val="22"/>
          <w:szCs w:val="22"/>
        </w:rPr>
      </w:pPr>
    </w:p>
    <w:p w14:paraId="754B668F" w14:textId="23D66E64" w:rsidR="004F0762" w:rsidRPr="004F0762" w:rsidRDefault="00864E17" w:rsidP="004F0762">
      <w:pPr>
        <w:jc w:val="both"/>
        <w:rPr>
          <w:rFonts w:ascii="Rubik" w:hAnsi="Rubik" w:cs="Rubik"/>
          <w:sz w:val="22"/>
          <w:szCs w:val="22"/>
        </w:rPr>
      </w:pPr>
      <w:r w:rsidRPr="004F0762">
        <w:rPr>
          <w:rFonts w:ascii="Rubik" w:hAnsi="Rubik" w:cs="Rubik" w:hint="cs"/>
          <w:i/>
          <w:iCs/>
          <w:sz w:val="22"/>
          <w:szCs w:val="22"/>
        </w:rPr>
        <w:t xml:space="preserve">Bergamo, </w:t>
      </w:r>
      <w:r w:rsidR="00C65CA5">
        <w:rPr>
          <w:rFonts w:ascii="Rubik" w:hAnsi="Rubik" w:cs="Rubik"/>
          <w:i/>
          <w:iCs/>
          <w:sz w:val="22"/>
          <w:szCs w:val="22"/>
        </w:rPr>
        <w:t>20</w:t>
      </w:r>
      <w:r w:rsidRPr="004F0762">
        <w:rPr>
          <w:rFonts w:ascii="Rubik" w:hAnsi="Rubik" w:cs="Rubik" w:hint="cs"/>
          <w:i/>
          <w:iCs/>
          <w:sz w:val="22"/>
          <w:szCs w:val="22"/>
        </w:rPr>
        <w:t xml:space="preserve"> aprile 2026</w:t>
      </w:r>
      <w:r w:rsidRPr="004F0762">
        <w:rPr>
          <w:rFonts w:ascii="Rubik" w:hAnsi="Rubik" w:cs="Rubik" w:hint="cs"/>
          <w:sz w:val="22"/>
          <w:szCs w:val="22"/>
        </w:rPr>
        <w:t xml:space="preserve"> –</w:t>
      </w:r>
      <w:r w:rsidR="004F0762" w:rsidRPr="004F0762">
        <w:rPr>
          <w:rFonts w:ascii="Rubik" w:hAnsi="Rubik" w:cs="Rubik" w:hint="cs"/>
          <w:sz w:val="22"/>
          <w:szCs w:val="22"/>
        </w:rPr>
        <w:t xml:space="preserve"> L’Università degli studi di Bergamo registra risultati positivi nella </w:t>
      </w:r>
      <w:r w:rsidR="004F0762" w:rsidRPr="004F0762">
        <w:rPr>
          <w:rFonts w:ascii="Rubik" w:hAnsi="Rubik" w:cs="Rubik" w:hint="cs"/>
          <w:b/>
          <w:bCs/>
          <w:sz w:val="22"/>
          <w:szCs w:val="22"/>
        </w:rPr>
        <w:t>valutazione della qualità della ricerca (VQR)</w:t>
      </w:r>
      <w:r w:rsidR="004F0762" w:rsidRPr="004F0762">
        <w:rPr>
          <w:rFonts w:ascii="Rubik" w:hAnsi="Rubik" w:cs="Rubik" w:hint="cs"/>
          <w:sz w:val="22"/>
          <w:szCs w:val="22"/>
        </w:rPr>
        <w:t xml:space="preserve"> relativa al quinquennio 2020–2024, che prende in esame la qualità della produzione scientifica, la capacità di valorizzare la conoscenza per generare impatti economici e sociali, la formazione alla ricerca dei giovani ricercatori e la partecipazione ai fondi competitivi europei e internazionali.</w:t>
      </w:r>
    </w:p>
    <w:p w14:paraId="0DFAE212" w14:textId="77777777" w:rsidR="004F0762" w:rsidRPr="004F0762" w:rsidRDefault="004F0762" w:rsidP="004F0762">
      <w:pPr>
        <w:jc w:val="both"/>
        <w:rPr>
          <w:rFonts w:ascii="Rubik" w:hAnsi="Rubik" w:cs="Rubik"/>
          <w:sz w:val="22"/>
          <w:szCs w:val="22"/>
        </w:rPr>
      </w:pPr>
    </w:p>
    <w:p w14:paraId="7853F72A" w14:textId="3AEEC795" w:rsidR="004F0762" w:rsidRPr="004F0762" w:rsidRDefault="004F0762" w:rsidP="004F0762">
      <w:pPr>
        <w:jc w:val="both"/>
        <w:rPr>
          <w:rFonts w:ascii="Rubik" w:hAnsi="Rubik" w:cs="Rubik"/>
          <w:sz w:val="22"/>
          <w:szCs w:val="22"/>
        </w:rPr>
      </w:pPr>
      <w:r w:rsidRPr="004F0762">
        <w:rPr>
          <w:rFonts w:ascii="Rubik" w:hAnsi="Rubik" w:cs="Rubik" w:hint="cs"/>
          <w:sz w:val="22"/>
          <w:szCs w:val="22"/>
        </w:rPr>
        <w:t>La VQR</w:t>
      </w:r>
      <w:r>
        <w:rPr>
          <w:rFonts w:ascii="Rubik" w:hAnsi="Rubik" w:cs="Rubik"/>
          <w:sz w:val="22"/>
          <w:szCs w:val="22"/>
        </w:rPr>
        <w:t xml:space="preserve"> è </w:t>
      </w:r>
      <w:r w:rsidRPr="004F0762">
        <w:rPr>
          <w:rFonts w:ascii="Rubik" w:hAnsi="Rubik" w:cs="Rubik" w:hint="cs"/>
          <w:sz w:val="22"/>
          <w:szCs w:val="22"/>
        </w:rPr>
        <w:t>condotta dall’</w:t>
      </w:r>
      <w:r w:rsidRPr="004F0762">
        <w:rPr>
          <w:rFonts w:ascii="Rubik" w:hAnsi="Rubik" w:cs="Rubik" w:hint="cs"/>
          <w:b/>
          <w:bCs/>
          <w:sz w:val="22"/>
          <w:szCs w:val="22"/>
        </w:rPr>
        <w:t>Agenzia nazionale di valutazione del sistema universitario e della ricerca (ANVUR</w:t>
      </w:r>
      <w:r>
        <w:rPr>
          <w:rFonts w:ascii="Rubik" w:hAnsi="Rubik" w:cs="Rubik"/>
          <w:b/>
          <w:bCs/>
          <w:sz w:val="22"/>
          <w:szCs w:val="22"/>
        </w:rPr>
        <w:t>)</w:t>
      </w:r>
      <w:r w:rsidRPr="004F0762">
        <w:rPr>
          <w:rFonts w:ascii="Rubik" w:hAnsi="Rubik" w:cs="Rubik"/>
          <w:sz w:val="22"/>
          <w:szCs w:val="22"/>
        </w:rPr>
        <w:t xml:space="preserve"> </w:t>
      </w:r>
      <w:r>
        <w:rPr>
          <w:rFonts w:ascii="Rubik" w:hAnsi="Rubik" w:cs="Rubik"/>
          <w:sz w:val="22"/>
          <w:szCs w:val="22"/>
        </w:rPr>
        <w:t>con</w:t>
      </w:r>
      <w:r w:rsidRPr="004F0762">
        <w:rPr>
          <w:rFonts w:ascii="Rubik" w:hAnsi="Rubik" w:cs="Rubik" w:hint="cs"/>
          <w:sz w:val="22"/>
          <w:szCs w:val="22"/>
        </w:rPr>
        <w:t xml:space="preserve"> </w:t>
      </w:r>
      <w:r>
        <w:rPr>
          <w:rFonts w:ascii="Rubik" w:hAnsi="Rubik" w:cs="Rubik"/>
          <w:sz w:val="22"/>
          <w:szCs w:val="22"/>
        </w:rPr>
        <w:t>l’o</w:t>
      </w:r>
      <w:r w:rsidRPr="004F0762">
        <w:rPr>
          <w:rFonts w:ascii="Rubik" w:hAnsi="Rubik" w:cs="Rubik" w:hint="cs"/>
          <w:sz w:val="22"/>
          <w:szCs w:val="22"/>
        </w:rPr>
        <w:t xml:space="preserve">biettivo di promuovere un sistema di ricerca competitivo, capace di contribuire in modo significativo al progresso scientifico e tecnologico del Paese. I risultati della VQR sono utilizzati per ripartire i finanziamenti pubblici al sistema universitario e forniscono un quadro informativo alle singole istituzioni per valutare e orientare la propria azione negli ambiti della ricerca, della terza missione e della formazione dottorale. In totale sono state giudicate </w:t>
      </w:r>
      <w:r w:rsidRPr="004F0762">
        <w:rPr>
          <w:rFonts w:ascii="Rubik" w:hAnsi="Rubik" w:cs="Rubik" w:hint="cs"/>
          <w:b/>
          <w:bCs/>
          <w:sz w:val="22"/>
          <w:szCs w:val="22"/>
        </w:rPr>
        <w:t>132 istituzioni</w:t>
      </w:r>
      <w:r w:rsidRPr="004F0762">
        <w:rPr>
          <w:rFonts w:ascii="Rubik" w:hAnsi="Rubik" w:cs="Rubik" w:hint="cs"/>
          <w:sz w:val="22"/>
          <w:szCs w:val="22"/>
        </w:rPr>
        <w:t xml:space="preserve"> di cui 100 atenei, 13 enti di ricerca e 19 istituzioni volontarie.</w:t>
      </w:r>
    </w:p>
    <w:p w14:paraId="0D7B0ABA" w14:textId="77777777" w:rsidR="004F0762" w:rsidRPr="004F0762" w:rsidRDefault="004F0762" w:rsidP="004F0762">
      <w:pPr>
        <w:jc w:val="both"/>
        <w:rPr>
          <w:rFonts w:ascii="Rubik" w:hAnsi="Rubik" w:cs="Rubik"/>
          <w:sz w:val="22"/>
          <w:szCs w:val="22"/>
        </w:rPr>
      </w:pPr>
    </w:p>
    <w:p w14:paraId="16BDFF20" w14:textId="756B6F60" w:rsidR="004F0762" w:rsidRPr="004F0762" w:rsidRDefault="004F0762" w:rsidP="004F0762">
      <w:pPr>
        <w:jc w:val="both"/>
        <w:rPr>
          <w:rFonts w:ascii="Rubik" w:hAnsi="Rubik" w:cs="Rubik"/>
          <w:sz w:val="22"/>
          <w:szCs w:val="22"/>
        </w:rPr>
      </w:pPr>
      <w:r w:rsidRPr="004F0762">
        <w:rPr>
          <w:rFonts w:ascii="Rubik" w:hAnsi="Rubik" w:cs="Rubik" w:hint="cs"/>
          <w:sz w:val="22"/>
          <w:szCs w:val="22"/>
        </w:rPr>
        <w:t xml:space="preserve">Secondo i primi dati diffusi dall’ANVUR, la qualità delle </w:t>
      </w:r>
      <w:r w:rsidRPr="004F0762">
        <w:rPr>
          <w:rFonts w:ascii="Rubik" w:hAnsi="Rubik" w:cs="Rubik" w:hint="cs"/>
          <w:b/>
          <w:bCs/>
          <w:sz w:val="22"/>
          <w:szCs w:val="22"/>
        </w:rPr>
        <w:t>1.275 pubblicazioni</w:t>
      </w:r>
      <w:r w:rsidRPr="004F0762">
        <w:rPr>
          <w:rFonts w:ascii="Rubik" w:hAnsi="Rubik" w:cs="Rubik" w:hint="cs"/>
          <w:sz w:val="22"/>
          <w:szCs w:val="22"/>
        </w:rPr>
        <w:t xml:space="preserve"> complessivamente conferite in valutazione da parte dei ricercatori di UniBg è </w:t>
      </w:r>
      <w:r w:rsidRPr="004F0762">
        <w:rPr>
          <w:rFonts w:ascii="Rubik" w:hAnsi="Rubik" w:cs="Rubik" w:hint="cs"/>
          <w:b/>
          <w:bCs/>
          <w:sz w:val="22"/>
          <w:szCs w:val="22"/>
        </w:rPr>
        <w:t>superiore alla media nazionale</w:t>
      </w:r>
      <w:r w:rsidRPr="004F0762">
        <w:rPr>
          <w:rFonts w:ascii="Rubik" w:hAnsi="Rubik" w:cs="Rubik" w:hint="cs"/>
          <w:sz w:val="22"/>
          <w:szCs w:val="22"/>
        </w:rPr>
        <w:t xml:space="preserve">. Significativo anche il miglioramento della </w:t>
      </w:r>
      <w:r w:rsidRPr="004F0762">
        <w:rPr>
          <w:rFonts w:ascii="Rubik" w:hAnsi="Rubik" w:cs="Rubik" w:hint="cs"/>
          <w:b/>
          <w:bCs/>
          <w:sz w:val="22"/>
          <w:szCs w:val="22"/>
        </w:rPr>
        <w:t xml:space="preserve">qualità della formazione alla ricerca </w:t>
      </w:r>
      <w:r w:rsidRPr="004F0762">
        <w:rPr>
          <w:rFonts w:ascii="Rubik" w:hAnsi="Rubik" w:cs="Rubik" w:hint="cs"/>
          <w:sz w:val="22"/>
          <w:szCs w:val="22"/>
        </w:rPr>
        <w:t xml:space="preserve">attraverso i corsi di Dottorato. L’Ateneo conferma inoltre la sua </w:t>
      </w:r>
      <w:r w:rsidRPr="004F0762">
        <w:rPr>
          <w:rFonts w:ascii="Rubik" w:hAnsi="Rubik" w:cs="Rubik" w:hint="cs"/>
          <w:b/>
          <w:bCs/>
          <w:sz w:val="22"/>
          <w:szCs w:val="22"/>
        </w:rPr>
        <w:t>forte vocazione ai rapporti con il territorio</w:t>
      </w:r>
      <w:r w:rsidRPr="004F0762">
        <w:rPr>
          <w:rFonts w:ascii="Rubik" w:hAnsi="Rubik" w:cs="Rubik" w:hint="cs"/>
          <w:sz w:val="22"/>
          <w:szCs w:val="22"/>
        </w:rPr>
        <w:t>, collocandosi tra gli Atenei statali di eccellenza per la qualità delle attività di valorizzazione della conoscenza, in virtù della sua capacità di generare ricadute sul territorio in termini di trasferimento scientifico, tecnologico, sociale e culturale.</w:t>
      </w:r>
    </w:p>
    <w:p w14:paraId="38A0820D" w14:textId="77777777" w:rsidR="004F0762" w:rsidRPr="004F0762" w:rsidRDefault="004F0762" w:rsidP="004F0762">
      <w:pPr>
        <w:jc w:val="both"/>
        <w:rPr>
          <w:rFonts w:ascii="Rubik" w:hAnsi="Rubik" w:cs="Rubik"/>
          <w:sz w:val="22"/>
          <w:szCs w:val="22"/>
        </w:rPr>
      </w:pPr>
    </w:p>
    <w:p w14:paraId="6EE920BF" w14:textId="523F2BAB" w:rsidR="004F0762" w:rsidRPr="004F0762" w:rsidRDefault="004F0762" w:rsidP="004F0762">
      <w:pPr>
        <w:jc w:val="both"/>
        <w:rPr>
          <w:rFonts w:ascii="Rubik" w:hAnsi="Rubik" w:cs="Rubik"/>
          <w:i/>
          <w:iCs/>
          <w:sz w:val="22"/>
          <w:szCs w:val="22"/>
        </w:rPr>
      </w:pPr>
      <w:r w:rsidRPr="004F0762">
        <w:rPr>
          <w:rFonts w:ascii="Rubik" w:hAnsi="Rubik" w:cs="Rubik" w:hint="cs"/>
          <w:i/>
          <w:iCs/>
          <w:sz w:val="22"/>
          <w:szCs w:val="22"/>
        </w:rPr>
        <w:t>«La qualità dei prodotti della ricerca dei nostri ricercatori, soprattutto di coloro che sono stati assunti nel quinquennio 20</w:t>
      </w:r>
      <w:r>
        <w:rPr>
          <w:rFonts w:ascii="Rubik" w:hAnsi="Rubik" w:cs="Rubik"/>
          <w:i/>
          <w:iCs/>
          <w:sz w:val="22"/>
          <w:szCs w:val="22"/>
        </w:rPr>
        <w:t>20</w:t>
      </w:r>
      <w:r w:rsidRPr="004F0762">
        <w:rPr>
          <w:rFonts w:ascii="Rubik" w:hAnsi="Rubik" w:cs="Rubik" w:hint="cs"/>
          <w:i/>
          <w:iCs/>
          <w:sz w:val="22"/>
          <w:szCs w:val="22"/>
        </w:rPr>
        <w:t>-</w:t>
      </w:r>
      <w:r>
        <w:rPr>
          <w:rFonts w:ascii="Rubik" w:hAnsi="Rubik" w:cs="Rubik"/>
          <w:i/>
          <w:iCs/>
          <w:sz w:val="22"/>
          <w:szCs w:val="22"/>
        </w:rPr>
        <w:t>20</w:t>
      </w:r>
      <w:r w:rsidRPr="004F0762">
        <w:rPr>
          <w:rFonts w:ascii="Rubik" w:hAnsi="Rubik" w:cs="Rubik" w:hint="cs"/>
          <w:i/>
          <w:iCs/>
          <w:sz w:val="22"/>
          <w:szCs w:val="22"/>
        </w:rPr>
        <w:t>24 o che hanno ottenuto un avanzamento di carriera nel medesimo periodo, conferma l’efficacia delle politiche di reclutamento dell’Ateneo</w:t>
      </w:r>
      <w:r w:rsidRPr="004F0762">
        <w:rPr>
          <w:rFonts w:ascii="Rubik" w:hAnsi="Rubik" w:cs="Rubik" w:hint="cs"/>
          <w:sz w:val="22"/>
          <w:szCs w:val="22"/>
        </w:rPr>
        <w:t xml:space="preserve"> – sottolinea </w:t>
      </w:r>
      <w:r w:rsidRPr="004F0762">
        <w:rPr>
          <w:rFonts w:ascii="Rubik" w:hAnsi="Rubik" w:cs="Rubik" w:hint="cs"/>
          <w:b/>
          <w:bCs/>
          <w:sz w:val="22"/>
          <w:szCs w:val="22"/>
        </w:rPr>
        <w:t>Mariafrancesca Sicilia</w:t>
      </w:r>
      <w:r w:rsidRPr="004F0762">
        <w:rPr>
          <w:rFonts w:ascii="Rubik" w:hAnsi="Rubik" w:cs="Rubik" w:hint="cs"/>
          <w:sz w:val="22"/>
          <w:szCs w:val="22"/>
        </w:rPr>
        <w:t>, Prorettrice con delega alla ricerca scientifica –</w:t>
      </w:r>
      <w:r>
        <w:rPr>
          <w:rFonts w:ascii="Rubik" w:hAnsi="Rubik" w:cs="Rubik"/>
          <w:sz w:val="22"/>
          <w:szCs w:val="22"/>
        </w:rPr>
        <w:t>,</w:t>
      </w:r>
      <w:r w:rsidRPr="004F0762">
        <w:rPr>
          <w:rFonts w:ascii="Rubik" w:hAnsi="Rubik" w:cs="Rubik" w:hint="cs"/>
          <w:sz w:val="22"/>
          <w:szCs w:val="22"/>
        </w:rPr>
        <w:t xml:space="preserve"> </w:t>
      </w:r>
      <w:r w:rsidRPr="004F0762">
        <w:rPr>
          <w:rFonts w:ascii="Rubik" w:hAnsi="Rubik" w:cs="Rubik" w:hint="cs"/>
          <w:i/>
          <w:iCs/>
          <w:sz w:val="22"/>
          <w:szCs w:val="22"/>
        </w:rPr>
        <w:t>orientate a promuovere e valorizzare il merito in termini di qualità della ricerca. Si tratta di un risultato importante per un Ateneo che, nello stesso periodo, ha registrato una significativa crescita dimensionale. Esprimiamo soddisfazione anche per la qualità della formazione alla ricerca, esito di un impegno continuativo sui dottorati, ambito sul quale l’Università sta investendo con decisione per la formazione delle nuove generazioni di ricercatori. Come atteso, i risultati confermano che dobbiamo rafforzare la nostra capacità di attrarre finanziamenti competitivi internazionali, ma sono già in corso azioni in tale direzione, anche in una logica ecosistemica per favorire sinergie tra gli attori della ricerca e dell’innovazione del territorio.»</w:t>
      </w:r>
    </w:p>
    <w:p w14:paraId="3F53007C" w14:textId="77777777" w:rsidR="004F0762" w:rsidRPr="004F0762" w:rsidRDefault="004F0762" w:rsidP="004F0762">
      <w:pPr>
        <w:jc w:val="both"/>
        <w:rPr>
          <w:rFonts w:ascii="Rubik" w:hAnsi="Rubik" w:cs="Rubik"/>
          <w:sz w:val="22"/>
          <w:szCs w:val="22"/>
        </w:rPr>
      </w:pPr>
    </w:p>
    <w:p w14:paraId="009A3866" w14:textId="199F6825" w:rsidR="004F0762" w:rsidRPr="004F0762" w:rsidRDefault="004F0762" w:rsidP="004F0762">
      <w:pPr>
        <w:jc w:val="both"/>
        <w:rPr>
          <w:rFonts w:ascii="Rubik" w:hAnsi="Rubik" w:cs="Rubik"/>
          <w:sz w:val="22"/>
          <w:szCs w:val="22"/>
        </w:rPr>
      </w:pPr>
      <w:r w:rsidRPr="004F0762">
        <w:rPr>
          <w:rFonts w:ascii="Rubik" w:hAnsi="Rubik" w:cs="Rubik" w:hint="cs"/>
          <w:sz w:val="22"/>
          <w:szCs w:val="22"/>
        </w:rPr>
        <w:t xml:space="preserve">I risultati positivi registrati con riferimento alle attività di </w:t>
      </w:r>
      <w:r w:rsidRPr="004F0762">
        <w:rPr>
          <w:rFonts w:ascii="Rubik" w:hAnsi="Rubik" w:cs="Rubik" w:hint="cs"/>
          <w:b/>
          <w:bCs/>
          <w:sz w:val="22"/>
          <w:szCs w:val="22"/>
        </w:rPr>
        <w:t>“Terza Missione”</w:t>
      </w:r>
      <w:r w:rsidRPr="004F0762">
        <w:rPr>
          <w:rFonts w:ascii="Rubik" w:hAnsi="Rubik" w:cs="Rubik" w:hint="cs"/>
          <w:sz w:val="22"/>
          <w:szCs w:val="22"/>
        </w:rPr>
        <w:t xml:space="preserve"> sono frutto di un percorso coerente, che l'Università degli studi di Bergamo aveva avviato già nelle precedenti governance e che ha trovato conferma nel </w:t>
      </w:r>
      <w:r w:rsidRPr="004F0762">
        <w:rPr>
          <w:rFonts w:ascii="Rubik" w:hAnsi="Rubik" w:cs="Rubik" w:hint="cs"/>
          <w:b/>
          <w:bCs/>
          <w:sz w:val="22"/>
          <w:szCs w:val="22"/>
        </w:rPr>
        <w:t>Piano Strategico di Ateneo 2023–2027</w:t>
      </w:r>
      <w:r w:rsidRPr="004F0762">
        <w:rPr>
          <w:rFonts w:ascii="Rubik" w:hAnsi="Rubik" w:cs="Rubik" w:hint="cs"/>
          <w:sz w:val="22"/>
          <w:szCs w:val="22"/>
        </w:rPr>
        <w:t>, dove valorizzazione della ricerca e dialogo con il territorio sono indicati come assi portanti. I casi presentati riflettono le molteplici modalità attraverso cui l’Ateneo valorizza le conoscenze e si impegna a co-creare valore pubblico con e per il territorio:  progetti di apprendimento aperto su due temi ad elevata rilevanza sociale, quali violenza di genere e disturbi del comportamento alimentare</w:t>
      </w:r>
      <w:r>
        <w:rPr>
          <w:rFonts w:ascii="Rubik" w:hAnsi="Rubik" w:cs="Rubik"/>
          <w:sz w:val="22"/>
          <w:szCs w:val="22"/>
        </w:rPr>
        <w:t>;</w:t>
      </w:r>
      <w:r w:rsidRPr="004F0762">
        <w:rPr>
          <w:rFonts w:ascii="Rubik" w:hAnsi="Rubik" w:cs="Rubik" w:hint="cs"/>
          <w:sz w:val="22"/>
          <w:szCs w:val="22"/>
        </w:rPr>
        <w:t xml:space="preserve"> iniziative ispirate al modello della tripla elica allargata per </w:t>
      </w:r>
      <w:r w:rsidRPr="004F0762">
        <w:rPr>
          <w:rFonts w:ascii="Rubik" w:hAnsi="Rubik" w:cs="Rubik" w:hint="cs"/>
          <w:sz w:val="22"/>
          <w:szCs w:val="22"/>
        </w:rPr>
        <w:lastRenderedPageBreak/>
        <w:t>affrontare</w:t>
      </w:r>
      <w:r>
        <w:rPr>
          <w:rFonts w:ascii="Rubik" w:hAnsi="Rubik" w:cs="Rubik"/>
          <w:sz w:val="22"/>
          <w:szCs w:val="22"/>
        </w:rPr>
        <w:t xml:space="preserve"> </w:t>
      </w:r>
      <w:r w:rsidRPr="004F0762">
        <w:rPr>
          <w:rFonts w:ascii="Rubik" w:hAnsi="Rubik" w:cs="Rubik" w:hint="cs"/>
          <w:sz w:val="22"/>
          <w:szCs w:val="22"/>
        </w:rPr>
        <w:t>le sfide del territorio bergamasco</w:t>
      </w:r>
      <w:r>
        <w:rPr>
          <w:rFonts w:ascii="Rubik" w:hAnsi="Rubik" w:cs="Rubik"/>
          <w:sz w:val="22"/>
          <w:szCs w:val="22"/>
        </w:rPr>
        <w:t>;</w:t>
      </w:r>
      <w:r w:rsidRPr="004F0762">
        <w:rPr>
          <w:rFonts w:ascii="Rubik" w:hAnsi="Rubik" w:cs="Rubik" w:hint="cs"/>
          <w:sz w:val="22"/>
          <w:szCs w:val="22"/>
        </w:rPr>
        <w:t xml:space="preserve"> valorizzazione del patrimonio artistico</w:t>
      </w:r>
      <w:r>
        <w:rPr>
          <w:rFonts w:ascii="Rubik" w:hAnsi="Rubik" w:cs="Rubik"/>
          <w:sz w:val="22"/>
          <w:szCs w:val="22"/>
        </w:rPr>
        <w:t>-</w:t>
      </w:r>
      <w:r w:rsidRPr="004F0762">
        <w:rPr>
          <w:rFonts w:ascii="Rubik" w:hAnsi="Rubik" w:cs="Rubik" w:hint="cs"/>
          <w:sz w:val="22"/>
          <w:szCs w:val="22"/>
        </w:rPr>
        <w:t>culturale e storico dell’Università</w:t>
      </w:r>
      <w:r>
        <w:rPr>
          <w:rFonts w:ascii="Rubik" w:hAnsi="Rubik" w:cs="Rubik"/>
          <w:sz w:val="22"/>
          <w:szCs w:val="22"/>
        </w:rPr>
        <w:t xml:space="preserve">, </w:t>
      </w:r>
      <w:r w:rsidRPr="004F0762">
        <w:rPr>
          <w:rFonts w:ascii="Rubik" w:hAnsi="Rubik" w:cs="Rubik" w:hint="cs"/>
          <w:sz w:val="22"/>
          <w:szCs w:val="22"/>
        </w:rPr>
        <w:t>rendendolo aperto e accessibile. Non poteva mancare</w:t>
      </w:r>
      <w:r>
        <w:rPr>
          <w:rFonts w:ascii="Rubik" w:hAnsi="Rubik" w:cs="Rubik"/>
          <w:sz w:val="22"/>
          <w:szCs w:val="22"/>
        </w:rPr>
        <w:t>,</w:t>
      </w:r>
      <w:r w:rsidRPr="004F0762">
        <w:rPr>
          <w:rFonts w:ascii="Rubik" w:hAnsi="Rubik" w:cs="Rubik" w:hint="cs"/>
          <w:sz w:val="22"/>
          <w:szCs w:val="22"/>
        </w:rPr>
        <w:t xml:space="preserve"> tra i casi presentati</w:t>
      </w:r>
      <w:r>
        <w:rPr>
          <w:rFonts w:ascii="Rubik" w:hAnsi="Rubik" w:cs="Rubik"/>
          <w:sz w:val="22"/>
          <w:szCs w:val="22"/>
        </w:rPr>
        <w:t>,</w:t>
      </w:r>
      <w:r w:rsidRPr="004F0762">
        <w:rPr>
          <w:rFonts w:ascii="Rubik" w:hAnsi="Rubik" w:cs="Rubik" w:hint="cs"/>
          <w:sz w:val="22"/>
          <w:szCs w:val="22"/>
        </w:rPr>
        <w:t xml:space="preserve"> </w:t>
      </w:r>
      <w:r w:rsidRPr="004F0762">
        <w:rPr>
          <w:rFonts w:ascii="Rubik" w:hAnsi="Rubik" w:cs="Rubik" w:hint="cs"/>
          <w:b/>
          <w:bCs/>
          <w:sz w:val="22"/>
          <w:szCs w:val="22"/>
        </w:rPr>
        <w:t>“Bergamo Next Level”</w:t>
      </w:r>
      <w:r w:rsidRPr="004F0762">
        <w:rPr>
          <w:rFonts w:ascii="Rubik" w:hAnsi="Rubik" w:cs="Rubik" w:hint="cs"/>
          <w:sz w:val="22"/>
          <w:szCs w:val="22"/>
        </w:rPr>
        <w:t>, la rassegna culturale finalizzata ad attivare e tenere vivo nel tempo un dialogo con il territorio sui grandi temi strategici e attuali di sviluppo e coesione sociale, giunta quest’anno alla sua sesta edizione</w:t>
      </w:r>
      <w:r>
        <w:rPr>
          <w:rFonts w:ascii="Rubik" w:hAnsi="Rubik" w:cs="Rubik"/>
          <w:sz w:val="22"/>
          <w:szCs w:val="22"/>
        </w:rPr>
        <w:t xml:space="preserve">, </w:t>
      </w:r>
      <w:r w:rsidRPr="004F0762">
        <w:rPr>
          <w:rFonts w:ascii="Rubik" w:hAnsi="Rubik" w:cs="Rubik" w:hint="cs"/>
          <w:sz w:val="22"/>
          <w:szCs w:val="22"/>
        </w:rPr>
        <w:t>appena conclusasi.</w:t>
      </w:r>
    </w:p>
    <w:p w14:paraId="595347F4" w14:textId="77777777" w:rsidR="004F0762" w:rsidRPr="004F0762" w:rsidRDefault="004F0762" w:rsidP="004F0762">
      <w:pPr>
        <w:jc w:val="both"/>
        <w:rPr>
          <w:rFonts w:ascii="Rubik" w:hAnsi="Rubik" w:cs="Rubik"/>
          <w:sz w:val="22"/>
          <w:szCs w:val="22"/>
        </w:rPr>
      </w:pPr>
    </w:p>
    <w:p w14:paraId="3A271FCD" w14:textId="69BFCA4C" w:rsidR="004F0762" w:rsidRPr="004F0762" w:rsidRDefault="004F0762" w:rsidP="004F0762">
      <w:pPr>
        <w:jc w:val="both"/>
        <w:rPr>
          <w:rFonts w:ascii="Rubik" w:hAnsi="Rubik" w:cs="Rubik"/>
          <w:sz w:val="22"/>
          <w:szCs w:val="22"/>
        </w:rPr>
      </w:pPr>
      <w:r w:rsidRPr="004F0762">
        <w:rPr>
          <w:rFonts w:ascii="Rubik" w:hAnsi="Rubik" w:cs="Rubik" w:hint="cs"/>
          <w:i/>
          <w:iCs/>
          <w:sz w:val="22"/>
          <w:szCs w:val="22"/>
        </w:rPr>
        <w:t>«Il risultato di eccellenza conseguito –</w:t>
      </w:r>
      <w:r w:rsidRPr="004F0762">
        <w:rPr>
          <w:rFonts w:ascii="Rubik" w:hAnsi="Rubik" w:cs="Rubik" w:hint="cs"/>
          <w:sz w:val="22"/>
          <w:szCs w:val="22"/>
        </w:rPr>
        <w:t xml:space="preserve"> osserva </w:t>
      </w:r>
      <w:r w:rsidRPr="004F0762">
        <w:rPr>
          <w:rFonts w:ascii="Rubik" w:hAnsi="Rubik" w:cs="Rubik" w:hint="cs"/>
          <w:b/>
          <w:bCs/>
          <w:sz w:val="22"/>
          <w:szCs w:val="22"/>
        </w:rPr>
        <w:t>Elisabetta Bani</w:t>
      </w:r>
      <w:r w:rsidRPr="004F0762">
        <w:rPr>
          <w:rFonts w:ascii="Rubik" w:hAnsi="Rubik" w:cs="Rubik" w:hint="cs"/>
          <w:sz w:val="22"/>
          <w:szCs w:val="22"/>
        </w:rPr>
        <w:t xml:space="preserve">, Prorettrice con delega alla valorizzazione delle conoscenze e ai rapporti con il territorio – </w:t>
      </w:r>
      <w:r w:rsidRPr="004F0762">
        <w:rPr>
          <w:rFonts w:ascii="Rubik" w:hAnsi="Rubik" w:cs="Rubik" w:hint="cs"/>
          <w:i/>
          <w:iCs/>
          <w:sz w:val="22"/>
          <w:szCs w:val="22"/>
        </w:rPr>
        <w:t>ci incentiva a proseguire lungo il percorso intrapreso, rafforzando ulteriormente l’integrazione tra didattica, ricerca e valorizzazione delle conoscenze, consolidando il ruolo del nostro Ateneo quale punto di riferimento per lo sviluppo sostenibile e innovativo del territorio.»</w:t>
      </w:r>
    </w:p>
    <w:p w14:paraId="34337590" w14:textId="77777777" w:rsidR="004F0762" w:rsidRPr="004F0762" w:rsidRDefault="004F0762" w:rsidP="004F0762">
      <w:pPr>
        <w:jc w:val="both"/>
        <w:rPr>
          <w:rFonts w:ascii="Rubik" w:hAnsi="Rubik" w:cs="Rubik"/>
          <w:sz w:val="22"/>
          <w:szCs w:val="22"/>
        </w:rPr>
      </w:pPr>
    </w:p>
    <w:p w14:paraId="0ADAC16C" w14:textId="779D8589" w:rsidR="004F0762" w:rsidRPr="004F0762" w:rsidRDefault="004F0762" w:rsidP="004F0762">
      <w:pPr>
        <w:jc w:val="both"/>
        <w:rPr>
          <w:rFonts w:ascii="Rubik" w:hAnsi="Rubik" w:cs="Rubik"/>
          <w:sz w:val="22"/>
          <w:szCs w:val="22"/>
        </w:rPr>
      </w:pPr>
      <w:r w:rsidRPr="004F0762">
        <w:rPr>
          <w:rFonts w:ascii="Rubik" w:hAnsi="Rubik" w:cs="Rubik" w:hint="cs"/>
          <w:sz w:val="22"/>
          <w:szCs w:val="22"/>
        </w:rPr>
        <w:t xml:space="preserve">Conclude il </w:t>
      </w:r>
      <w:r w:rsidRPr="004F0762">
        <w:rPr>
          <w:rFonts w:ascii="Rubik" w:hAnsi="Rubik" w:cs="Rubik" w:hint="cs"/>
          <w:b/>
          <w:bCs/>
          <w:sz w:val="22"/>
          <w:szCs w:val="22"/>
        </w:rPr>
        <w:t>Rettore Sergio Cavalieri</w:t>
      </w:r>
      <w:r w:rsidRPr="004F0762">
        <w:rPr>
          <w:rFonts w:ascii="Rubik" w:hAnsi="Rubik" w:cs="Rubik" w:hint="cs"/>
          <w:sz w:val="22"/>
          <w:szCs w:val="22"/>
        </w:rPr>
        <w:t xml:space="preserve">: </w:t>
      </w:r>
      <w:r w:rsidRPr="004F0762">
        <w:rPr>
          <w:rFonts w:ascii="Rubik" w:hAnsi="Rubik" w:cs="Rubik" w:hint="cs"/>
          <w:i/>
          <w:iCs/>
          <w:sz w:val="22"/>
          <w:szCs w:val="22"/>
        </w:rPr>
        <w:t>«I dati pubblicati dall’ANVUR, seppur ancora aggregati, rappresentano una fotografia delle attività di ricerca e valorizzazione della conoscenza svolte dal nostro Ateneo nel periodo 2020-2024. Questi dati confermano anche il percorso intrapreso negli ultimi anni dall’Ateneo, volto a rafforzare la formazione di giovani ricercatori, attraverso l’istituzione di nuovi Corsi di Dottorato. Un vivaio importante per garantire un'ulteriore spinta per una ricerca di qualità e di impatto</w:t>
      </w:r>
      <w:r w:rsidR="000A6AFC">
        <w:rPr>
          <w:rFonts w:ascii="Rubik" w:hAnsi="Rubik" w:cs="Rubik"/>
          <w:i/>
          <w:iCs/>
          <w:sz w:val="22"/>
          <w:szCs w:val="22"/>
        </w:rPr>
        <w:t xml:space="preserve"> </w:t>
      </w:r>
      <w:r w:rsidRPr="004F0762">
        <w:rPr>
          <w:rFonts w:ascii="Rubik" w:hAnsi="Rubik" w:cs="Rubik" w:hint="cs"/>
          <w:i/>
          <w:iCs/>
          <w:sz w:val="22"/>
          <w:szCs w:val="22"/>
        </w:rPr>
        <w:t xml:space="preserve">non solo scientifico ma anche, come dimostrato dall'eccellente risultato sul fronte della valorizzazione delle conoscenze, </w:t>
      </w:r>
      <w:r w:rsidR="000A6AFC">
        <w:rPr>
          <w:rFonts w:ascii="Rubik" w:hAnsi="Rubik" w:cs="Rubik"/>
          <w:i/>
          <w:iCs/>
          <w:sz w:val="22"/>
          <w:szCs w:val="22"/>
        </w:rPr>
        <w:t>sul fronte dell’</w:t>
      </w:r>
      <w:r w:rsidRPr="004F0762">
        <w:rPr>
          <w:rFonts w:ascii="Rubik" w:hAnsi="Rubik" w:cs="Rubik" w:hint="cs"/>
          <w:i/>
          <w:iCs/>
          <w:sz w:val="22"/>
          <w:szCs w:val="22"/>
        </w:rPr>
        <w:t>innovazione tecnologica, sociale e di trasferimento del sapere nella società. Lo spirito della VQR non è quello di creare classifiche, ma di fornire un riscontro in chiave comparativa della qualità dei percorsi strategici intrapresi dai singoli Atenei e, a cascata, anche dai singoli Dipartimenti e aree di ricerca. Attendiamo la pubblicazione dei dati più dettagliati per effettuare valutazioni più mirate. Un sentito ringraziamento da parte mia a tutte le colleghe e i colleghi che hanno contribuito, con la loro produzione scientifica e i progetti di valorizzazione delle conoscenze, al conseguimento di questi risultati positivi per il nostro Ateneo</w:t>
      </w:r>
      <w:r w:rsidRPr="004F0762">
        <w:rPr>
          <w:rFonts w:ascii="Rubik" w:hAnsi="Rubik" w:cs="Rubik"/>
          <w:i/>
          <w:iCs/>
          <w:sz w:val="22"/>
          <w:szCs w:val="22"/>
        </w:rPr>
        <w:t>.</w:t>
      </w:r>
      <w:r w:rsidRPr="004F0762">
        <w:rPr>
          <w:rFonts w:ascii="Rubik" w:hAnsi="Rubik" w:cs="Rubik" w:hint="cs"/>
          <w:i/>
          <w:iCs/>
          <w:sz w:val="22"/>
          <w:szCs w:val="22"/>
        </w:rPr>
        <w:t>»</w:t>
      </w:r>
    </w:p>
    <w:p w14:paraId="268CFF38" w14:textId="77777777" w:rsidR="004F0762" w:rsidRPr="004F0762" w:rsidRDefault="004F0762" w:rsidP="004F0762">
      <w:pPr>
        <w:jc w:val="both"/>
        <w:rPr>
          <w:rFonts w:ascii="Rubik" w:hAnsi="Rubik" w:cs="Rubik"/>
          <w:sz w:val="22"/>
          <w:szCs w:val="22"/>
        </w:rPr>
      </w:pPr>
    </w:p>
    <w:p w14:paraId="460B9CC9" w14:textId="52CD7B7B" w:rsidR="004F0762" w:rsidRPr="00700767" w:rsidRDefault="004F0762" w:rsidP="004F0762">
      <w:pPr>
        <w:jc w:val="both"/>
        <w:rPr>
          <w:rFonts w:ascii="Rubik" w:hAnsi="Rubik" w:cs="Rubik"/>
          <w:b/>
          <w:bCs/>
          <w:sz w:val="22"/>
          <w:szCs w:val="22"/>
        </w:rPr>
      </w:pPr>
      <w:r w:rsidRPr="00700767">
        <w:rPr>
          <w:rFonts w:ascii="Rubik" w:hAnsi="Rubik" w:cs="Rubik" w:hint="cs"/>
          <w:b/>
          <w:bCs/>
          <w:color w:val="000000"/>
          <w:sz w:val="22"/>
          <w:szCs w:val="22"/>
        </w:rPr>
        <w:t>SCHEDA INFORMATIVA RELATIVA AI PUNTEGGI CONSEGUITI DA UNIBG</w:t>
      </w:r>
    </w:p>
    <w:tbl>
      <w:tblPr>
        <w:tblW w:w="9167" w:type="dxa"/>
        <w:tblCellMar>
          <w:top w:w="15" w:type="dxa"/>
          <w:left w:w="15" w:type="dxa"/>
          <w:bottom w:w="15" w:type="dxa"/>
          <w:right w:w="15" w:type="dxa"/>
        </w:tblCellMar>
        <w:tblLook w:val="04A0" w:firstRow="1" w:lastRow="0" w:firstColumn="1" w:lastColumn="0" w:noHBand="0" w:noVBand="1"/>
      </w:tblPr>
      <w:tblGrid>
        <w:gridCol w:w="3257"/>
        <w:gridCol w:w="1765"/>
        <w:gridCol w:w="1972"/>
        <w:gridCol w:w="2173"/>
      </w:tblGrid>
      <w:tr w:rsidR="003E78A4" w:rsidRPr="00700767" w14:paraId="0AB604DB" w14:textId="77777777" w:rsidTr="00332FAC">
        <w:tc>
          <w:tcPr>
            <w:tcW w:w="3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AA768" w14:textId="77777777" w:rsidR="004F0762" w:rsidRPr="00700767" w:rsidRDefault="004F0762" w:rsidP="004F0762">
            <w:pPr>
              <w:jc w:val="both"/>
              <w:rPr>
                <w:rFonts w:ascii="Rubik" w:hAnsi="Rubik" w:cs="Rubik"/>
                <w:sz w:val="20"/>
                <w:szCs w:val="20"/>
              </w:rPr>
            </w:pPr>
            <w:r w:rsidRPr="00700767">
              <w:rPr>
                <w:rFonts w:ascii="Rubik" w:hAnsi="Rubik" w:cs="Rubik" w:hint="cs"/>
                <w:color w:val="000000"/>
                <w:sz w:val="20"/>
                <w:szCs w:val="20"/>
              </w:rPr>
              <w:t>Qualità dei prodotti conferiti dal personale ricercatore (1)</w:t>
            </w:r>
          </w:p>
        </w:tc>
        <w:tc>
          <w:tcPr>
            <w:tcW w:w="1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451932" w14:textId="77777777" w:rsidR="004F0762" w:rsidRPr="00700767" w:rsidRDefault="004F0762" w:rsidP="004F0762">
            <w:pPr>
              <w:jc w:val="both"/>
              <w:rPr>
                <w:rFonts w:ascii="Rubik" w:hAnsi="Rubik" w:cs="Rubik"/>
                <w:sz w:val="20"/>
                <w:szCs w:val="20"/>
              </w:rPr>
            </w:pPr>
            <w:r w:rsidRPr="00700767">
              <w:rPr>
                <w:rFonts w:ascii="Rubik" w:hAnsi="Rubik" w:cs="Rubik" w:hint="cs"/>
                <w:color w:val="000000"/>
                <w:sz w:val="20"/>
                <w:szCs w:val="20"/>
              </w:rPr>
              <w:t>Qualità della formazione alla ricerca (2)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E479E5" w14:textId="77777777" w:rsidR="004F0762" w:rsidRPr="00700767" w:rsidRDefault="004F0762" w:rsidP="004F0762">
            <w:pPr>
              <w:jc w:val="both"/>
              <w:rPr>
                <w:rFonts w:ascii="Rubik" w:hAnsi="Rubik" w:cs="Rubik"/>
                <w:sz w:val="20"/>
                <w:szCs w:val="20"/>
              </w:rPr>
            </w:pPr>
            <w:r w:rsidRPr="00700767">
              <w:rPr>
                <w:rFonts w:ascii="Rubik" w:hAnsi="Rubik" w:cs="Rubik" w:hint="cs"/>
                <w:color w:val="000000"/>
                <w:sz w:val="20"/>
                <w:szCs w:val="20"/>
              </w:rPr>
              <w:t>Qualità delle attività di valorizzazione delle conoscenze (3)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24FACB" w14:textId="77777777" w:rsidR="004F0762" w:rsidRPr="00700767" w:rsidRDefault="004F0762" w:rsidP="004F0762">
            <w:pPr>
              <w:jc w:val="both"/>
              <w:rPr>
                <w:rFonts w:ascii="Rubik" w:hAnsi="Rubik" w:cs="Rubik"/>
                <w:sz w:val="20"/>
                <w:szCs w:val="20"/>
              </w:rPr>
            </w:pPr>
            <w:r w:rsidRPr="00700767">
              <w:rPr>
                <w:rFonts w:ascii="Rubik" w:hAnsi="Rubik" w:cs="Rubik" w:hint="cs"/>
                <w:color w:val="000000"/>
                <w:sz w:val="20"/>
                <w:szCs w:val="20"/>
              </w:rPr>
              <w:t>Qualità relativa all'entità finanziaria dei progetti competitivi internazionali attivati (4)</w:t>
            </w:r>
          </w:p>
        </w:tc>
      </w:tr>
      <w:tr w:rsidR="00332FAC" w:rsidRPr="00700767" w14:paraId="5616565F" w14:textId="77777777" w:rsidTr="00332FAC">
        <w:tc>
          <w:tcPr>
            <w:tcW w:w="3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B61FA" w14:textId="19CC9929" w:rsidR="00332FAC" w:rsidRPr="00700767" w:rsidRDefault="00332FAC" w:rsidP="004F0762">
            <w:pPr>
              <w:jc w:val="both"/>
              <w:rPr>
                <w:rFonts w:ascii="Rubik" w:hAnsi="Rubik" w:cs="Rubik"/>
                <w:color w:val="000000"/>
                <w:sz w:val="20"/>
                <w:szCs w:val="20"/>
              </w:rPr>
            </w:pPr>
            <w:r w:rsidRPr="00700767">
              <w:rPr>
                <w:rFonts w:ascii="Rubik" w:hAnsi="Rubik" w:cs="Rubik" w:hint="cs"/>
                <w:color w:val="000000"/>
                <w:sz w:val="20"/>
                <w:szCs w:val="20"/>
              </w:rPr>
              <w:t>R1_2</w:t>
            </w:r>
          </w:p>
        </w:tc>
        <w:tc>
          <w:tcPr>
            <w:tcW w:w="1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A699E" w14:textId="7E2C99C9" w:rsidR="00332FAC" w:rsidRPr="00700767" w:rsidRDefault="00332FAC" w:rsidP="004F0762">
            <w:pPr>
              <w:jc w:val="both"/>
              <w:rPr>
                <w:rFonts w:ascii="Rubik" w:hAnsi="Rubik" w:cs="Rubik"/>
                <w:color w:val="000000"/>
                <w:sz w:val="20"/>
                <w:szCs w:val="20"/>
              </w:rPr>
            </w:pPr>
            <w:r w:rsidRPr="00700767">
              <w:rPr>
                <w:rFonts w:ascii="Rubik" w:hAnsi="Rubik" w:cs="Rubik" w:hint="cs"/>
                <w:color w:val="000000"/>
                <w:sz w:val="20"/>
                <w:szCs w:val="20"/>
              </w:rPr>
              <w:t>R3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2BC45" w14:textId="32971C79" w:rsidR="00332FAC" w:rsidRPr="00700767" w:rsidRDefault="00332FAC" w:rsidP="004F0762">
            <w:pPr>
              <w:jc w:val="both"/>
              <w:rPr>
                <w:rFonts w:ascii="Rubik" w:hAnsi="Rubik" w:cs="Rubik"/>
                <w:color w:val="000000"/>
                <w:sz w:val="20"/>
                <w:szCs w:val="20"/>
              </w:rPr>
            </w:pPr>
            <w:r w:rsidRPr="00700767">
              <w:rPr>
                <w:rFonts w:ascii="Rubik" w:hAnsi="Rubik" w:cs="Rubik" w:hint="cs"/>
                <w:color w:val="000000"/>
                <w:sz w:val="20"/>
                <w:szCs w:val="20"/>
              </w:rPr>
              <w:t>R4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D9628" w14:textId="09FEAC1C" w:rsidR="00332FAC" w:rsidRPr="00700767" w:rsidRDefault="00332FAC" w:rsidP="004F0762">
            <w:pPr>
              <w:jc w:val="both"/>
              <w:rPr>
                <w:rFonts w:ascii="Rubik" w:hAnsi="Rubik" w:cs="Rubik"/>
                <w:color w:val="000000"/>
                <w:sz w:val="20"/>
                <w:szCs w:val="20"/>
              </w:rPr>
            </w:pPr>
            <w:r w:rsidRPr="00700767">
              <w:rPr>
                <w:rFonts w:ascii="Rubik" w:hAnsi="Rubik" w:cs="Rubik" w:hint="cs"/>
                <w:color w:val="000000"/>
                <w:sz w:val="20"/>
                <w:szCs w:val="20"/>
              </w:rPr>
              <w:t>R5</w:t>
            </w:r>
          </w:p>
        </w:tc>
      </w:tr>
      <w:tr w:rsidR="00332FAC" w:rsidRPr="00700767" w14:paraId="6C39C89D" w14:textId="77777777" w:rsidTr="00332FAC">
        <w:tc>
          <w:tcPr>
            <w:tcW w:w="3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C4110" w14:textId="02ED6A72" w:rsidR="00332FAC" w:rsidRPr="00700767" w:rsidRDefault="00332FAC" w:rsidP="00332FAC">
            <w:pPr>
              <w:jc w:val="both"/>
              <w:rPr>
                <w:rFonts w:ascii="Rubik" w:hAnsi="Rubik" w:cs="Rubik"/>
                <w:color w:val="000000"/>
                <w:sz w:val="20"/>
                <w:szCs w:val="20"/>
              </w:rPr>
            </w:pPr>
            <w:r w:rsidRPr="003E78A4">
              <w:rPr>
                <w:rFonts w:ascii="Rubik" w:hAnsi="Rubik" w:cs="Rubik"/>
                <w:color w:val="000000"/>
                <w:sz w:val="20"/>
                <w:szCs w:val="20"/>
              </w:rPr>
              <w:t>1,002</w:t>
            </w:r>
          </w:p>
        </w:tc>
        <w:tc>
          <w:tcPr>
            <w:tcW w:w="1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8DEC1" w14:textId="521FBC9A" w:rsidR="00332FAC" w:rsidRPr="00700767" w:rsidRDefault="00332FAC" w:rsidP="00332FAC">
            <w:pPr>
              <w:jc w:val="both"/>
              <w:rPr>
                <w:rFonts w:ascii="Rubik" w:hAnsi="Rubik" w:cs="Rubik"/>
                <w:color w:val="000000"/>
                <w:sz w:val="20"/>
                <w:szCs w:val="20"/>
              </w:rPr>
            </w:pPr>
            <w:r w:rsidRPr="00700767">
              <w:rPr>
                <w:rFonts w:ascii="Rubik" w:hAnsi="Rubik" w:cs="Rubik" w:hint="cs"/>
                <w:color w:val="000000"/>
                <w:sz w:val="20"/>
                <w:szCs w:val="20"/>
              </w:rPr>
              <w:t>1,0172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640B7" w14:textId="4B6903BF" w:rsidR="00332FAC" w:rsidRPr="00700767" w:rsidRDefault="00332FAC" w:rsidP="00332FAC">
            <w:pPr>
              <w:jc w:val="both"/>
              <w:rPr>
                <w:rFonts w:ascii="Rubik" w:hAnsi="Rubik" w:cs="Rubik"/>
                <w:color w:val="000000"/>
                <w:sz w:val="20"/>
                <w:szCs w:val="20"/>
              </w:rPr>
            </w:pPr>
            <w:r w:rsidRPr="00700767">
              <w:rPr>
                <w:rFonts w:ascii="Rubik" w:hAnsi="Rubik" w:cs="Rubik" w:hint="cs"/>
                <w:color w:val="000000"/>
                <w:sz w:val="20"/>
                <w:szCs w:val="20"/>
              </w:rPr>
              <w:t>1,2134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DABEF" w14:textId="4F4D8478" w:rsidR="00332FAC" w:rsidRPr="00700767" w:rsidRDefault="00332FAC" w:rsidP="00332FAC">
            <w:pPr>
              <w:jc w:val="both"/>
              <w:rPr>
                <w:rFonts w:ascii="Rubik" w:hAnsi="Rubik" w:cs="Rubik"/>
                <w:color w:val="000000"/>
                <w:sz w:val="20"/>
                <w:szCs w:val="20"/>
              </w:rPr>
            </w:pPr>
            <w:r w:rsidRPr="00700767">
              <w:rPr>
                <w:rFonts w:ascii="Rubik" w:hAnsi="Rubik" w:cs="Rubik" w:hint="cs"/>
                <w:color w:val="000000"/>
                <w:sz w:val="20"/>
                <w:szCs w:val="20"/>
              </w:rPr>
              <w:t>0,9333</w:t>
            </w:r>
          </w:p>
        </w:tc>
      </w:tr>
    </w:tbl>
    <w:p w14:paraId="610C4526" w14:textId="77777777" w:rsidR="00332FAC" w:rsidRPr="00700767" w:rsidRDefault="00332FAC" w:rsidP="004F0762">
      <w:pPr>
        <w:jc w:val="both"/>
        <w:rPr>
          <w:rFonts w:ascii="Rubik" w:hAnsi="Rubik" w:cs="Rubik"/>
          <w:sz w:val="22"/>
          <w:szCs w:val="22"/>
        </w:rPr>
      </w:pPr>
    </w:p>
    <w:p w14:paraId="1010BBC5" w14:textId="77777777" w:rsidR="00912430" w:rsidRDefault="004F0762" w:rsidP="004F0762">
      <w:pPr>
        <w:jc w:val="both"/>
        <w:rPr>
          <w:rFonts w:ascii="Rubik" w:hAnsi="Rubik" w:cs="Rubik"/>
          <w:color w:val="000000"/>
          <w:sz w:val="16"/>
          <w:szCs w:val="16"/>
        </w:rPr>
      </w:pPr>
      <w:r w:rsidRPr="00700767">
        <w:rPr>
          <w:rFonts w:ascii="Rubik" w:hAnsi="Rubik" w:cs="Rubik" w:hint="cs"/>
          <w:color w:val="000000"/>
          <w:sz w:val="16"/>
          <w:szCs w:val="16"/>
        </w:rPr>
        <w:t>R: misura della qualità dei risultati della ricerca dell'Istituzione rispetto alla qualità media di tutte le Istituzioni, tenendo conto del peso delle diverse aree disciplinari nella specifica</w:t>
      </w:r>
      <w:r w:rsidR="00912430">
        <w:rPr>
          <w:rFonts w:ascii="Rubik" w:hAnsi="Rubik" w:cs="Rubik"/>
          <w:sz w:val="16"/>
          <w:szCs w:val="16"/>
        </w:rPr>
        <w:t xml:space="preserve"> </w:t>
      </w:r>
      <w:r w:rsidRPr="00700767">
        <w:rPr>
          <w:rFonts w:ascii="Rubik" w:hAnsi="Rubik" w:cs="Rubik" w:hint="cs"/>
          <w:color w:val="000000"/>
          <w:sz w:val="16"/>
          <w:szCs w:val="16"/>
        </w:rPr>
        <w:t xml:space="preserve">Istituzione. </w:t>
      </w:r>
    </w:p>
    <w:p w14:paraId="110ADE40" w14:textId="7118E243" w:rsidR="004F0762" w:rsidRPr="00700767" w:rsidRDefault="004F0762" w:rsidP="004F0762">
      <w:pPr>
        <w:jc w:val="both"/>
        <w:rPr>
          <w:rFonts w:ascii="Rubik" w:hAnsi="Rubik" w:cs="Rubik"/>
          <w:sz w:val="16"/>
          <w:szCs w:val="16"/>
        </w:rPr>
      </w:pPr>
      <w:r w:rsidRPr="00700767">
        <w:rPr>
          <w:rFonts w:ascii="Rubik" w:hAnsi="Rubik" w:cs="Rubik" w:hint="cs"/>
          <w:color w:val="000000"/>
          <w:sz w:val="16"/>
          <w:szCs w:val="16"/>
        </w:rPr>
        <w:t>Valori &gt; 1 indicano qualità superiore alla media nazionale; Valori &lt; 1 indicano qualità inferior</w:t>
      </w:r>
      <w:r w:rsidR="000A6AFC">
        <w:rPr>
          <w:rFonts w:ascii="Rubik" w:hAnsi="Rubik" w:cs="Rubik"/>
          <w:color w:val="000000"/>
          <w:sz w:val="16"/>
          <w:szCs w:val="16"/>
        </w:rPr>
        <w:t>e</w:t>
      </w:r>
      <w:r w:rsidRPr="00700767">
        <w:rPr>
          <w:rFonts w:ascii="Rubik" w:hAnsi="Rubik" w:cs="Rubik" w:hint="cs"/>
          <w:color w:val="000000"/>
          <w:sz w:val="16"/>
          <w:szCs w:val="16"/>
        </w:rPr>
        <w:t xml:space="preserve"> alla media nazionale.</w:t>
      </w:r>
      <w:r w:rsidRPr="00700767">
        <w:rPr>
          <w:rFonts w:ascii="Rubik" w:hAnsi="Rubik" w:cs="Rubik" w:hint="cs"/>
          <w:sz w:val="16"/>
          <w:szCs w:val="16"/>
        </w:rPr>
        <w:br/>
      </w:r>
    </w:p>
    <w:p w14:paraId="68FCEC87" w14:textId="77777777" w:rsidR="004F0762" w:rsidRPr="00912430" w:rsidRDefault="004F0762" w:rsidP="004F0762">
      <w:pPr>
        <w:pStyle w:val="Paragrafoelenco"/>
        <w:numPr>
          <w:ilvl w:val="0"/>
          <w:numId w:val="30"/>
        </w:numPr>
        <w:jc w:val="both"/>
        <w:textAlignment w:val="baseline"/>
        <w:rPr>
          <w:rFonts w:ascii="Rubik" w:eastAsia="Times New Roman" w:hAnsi="Rubik" w:cs="Rubik"/>
          <w:color w:val="000000"/>
          <w:sz w:val="16"/>
          <w:szCs w:val="16"/>
        </w:rPr>
      </w:pPr>
      <w:r w:rsidRPr="00912430">
        <w:rPr>
          <w:rFonts w:ascii="Rubik" w:eastAsia="Times New Roman" w:hAnsi="Rubik" w:cs="Rubik" w:hint="cs"/>
          <w:i/>
          <w:iCs/>
          <w:color w:val="000000"/>
          <w:sz w:val="16"/>
          <w:szCs w:val="16"/>
        </w:rPr>
        <w:t xml:space="preserve">R 1_2 Indicatore di qualità dei prodotti conferiti dal personale ricercatore </w:t>
      </w:r>
      <w:r w:rsidRPr="00912430">
        <w:rPr>
          <w:rFonts w:ascii="Rubik" w:eastAsia="Times New Roman" w:hAnsi="Rubik" w:cs="Rubik" w:hint="cs"/>
          <w:color w:val="000000"/>
          <w:sz w:val="16"/>
          <w:szCs w:val="16"/>
        </w:rPr>
        <w:t>- Il personale ricercatore comprende: il personale afferente all’Istituzione e in servizio con la stessa qualifica nel periodo considerato e il personale che è stato assunto o ha conseguito un avanzamento di carriera nel periodo 2020-24</w:t>
      </w:r>
    </w:p>
    <w:p w14:paraId="4A0AE87C" w14:textId="77777777" w:rsidR="004F0762" w:rsidRPr="00912430" w:rsidRDefault="004F0762" w:rsidP="004F0762">
      <w:pPr>
        <w:pStyle w:val="Paragrafoelenco"/>
        <w:numPr>
          <w:ilvl w:val="0"/>
          <w:numId w:val="30"/>
        </w:numPr>
        <w:jc w:val="both"/>
        <w:textAlignment w:val="baseline"/>
        <w:rPr>
          <w:rFonts w:ascii="Rubik" w:eastAsia="Times New Roman" w:hAnsi="Rubik" w:cs="Rubik"/>
          <w:color w:val="000000"/>
          <w:sz w:val="16"/>
          <w:szCs w:val="16"/>
        </w:rPr>
      </w:pPr>
      <w:r w:rsidRPr="00912430">
        <w:rPr>
          <w:rFonts w:ascii="Rubik" w:eastAsia="Times New Roman" w:hAnsi="Rubik" w:cs="Rubik" w:hint="cs"/>
          <w:i/>
          <w:iCs/>
          <w:color w:val="000000"/>
          <w:sz w:val="16"/>
          <w:szCs w:val="16"/>
        </w:rPr>
        <w:t xml:space="preserve">R 3 Indicatore di qualità della formazione alla ricerca </w:t>
      </w:r>
      <w:r w:rsidRPr="00912430">
        <w:rPr>
          <w:rFonts w:ascii="Rubik" w:eastAsia="Times New Roman" w:hAnsi="Rubik" w:cs="Rubik" w:hint="cs"/>
          <w:color w:val="000000"/>
          <w:sz w:val="16"/>
          <w:szCs w:val="16"/>
        </w:rPr>
        <w:t>– È misurato per ogni Istituzione attraverso la qualità dei prodotti di ricerca conferiti da ricercatori in servizio presso Istituzioni partecipanti alla VQR, integrati da quelli di ricercatori non afferenti a Istituzioni partecipanti alla VQR, che hanno conseguito il titolo di dottori di ricerca nel periodo 2017-23 presso l’Istituzione di riferimento o nell’ambito di dottorati a cui essa partecipa in forma consorziata o conveniata.</w:t>
      </w:r>
    </w:p>
    <w:p w14:paraId="1F85B70A" w14:textId="77777777" w:rsidR="004F0762" w:rsidRPr="00912430" w:rsidRDefault="004F0762" w:rsidP="004F0762">
      <w:pPr>
        <w:pStyle w:val="Paragrafoelenco"/>
        <w:numPr>
          <w:ilvl w:val="0"/>
          <w:numId w:val="30"/>
        </w:numPr>
        <w:jc w:val="both"/>
        <w:textAlignment w:val="baseline"/>
        <w:rPr>
          <w:rFonts w:ascii="Rubik" w:eastAsia="Times New Roman" w:hAnsi="Rubik" w:cs="Rubik"/>
          <w:color w:val="000000"/>
          <w:sz w:val="16"/>
          <w:szCs w:val="16"/>
        </w:rPr>
      </w:pPr>
      <w:r w:rsidRPr="00912430">
        <w:rPr>
          <w:rFonts w:ascii="Rubik" w:eastAsia="Times New Roman" w:hAnsi="Rubik" w:cs="Rubik" w:hint="cs"/>
          <w:i/>
          <w:iCs/>
          <w:color w:val="000000"/>
          <w:sz w:val="16"/>
          <w:szCs w:val="16"/>
        </w:rPr>
        <w:t xml:space="preserve">R 4 Indicatore di qualità delle attività di valorizzazione delle conoscenze </w:t>
      </w:r>
      <w:r w:rsidRPr="00912430">
        <w:rPr>
          <w:rFonts w:ascii="Rubik" w:eastAsia="Times New Roman" w:hAnsi="Rubik" w:cs="Rubik" w:hint="cs"/>
          <w:color w:val="000000"/>
          <w:sz w:val="16"/>
          <w:szCs w:val="16"/>
        </w:rPr>
        <w:t>- È misurato attraverso i casi studi conferiti riferiti alle attività di valorizzazione delle conoscenze.</w:t>
      </w:r>
    </w:p>
    <w:p w14:paraId="3340A2F1" w14:textId="5426FAD9" w:rsidR="00864E17" w:rsidRPr="00912430" w:rsidRDefault="004F0762" w:rsidP="004F0762">
      <w:pPr>
        <w:pStyle w:val="Paragrafoelenco"/>
        <w:numPr>
          <w:ilvl w:val="0"/>
          <w:numId w:val="30"/>
        </w:numPr>
        <w:jc w:val="both"/>
        <w:textAlignment w:val="baseline"/>
        <w:rPr>
          <w:rFonts w:ascii="Rubik" w:eastAsia="Times New Roman" w:hAnsi="Rubik" w:cs="Rubik"/>
          <w:color w:val="000000"/>
          <w:sz w:val="16"/>
          <w:szCs w:val="16"/>
        </w:rPr>
      </w:pPr>
      <w:r w:rsidRPr="00912430">
        <w:rPr>
          <w:rFonts w:ascii="Rubik" w:eastAsia="Times New Roman" w:hAnsi="Rubik" w:cs="Rubik" w:hint="cs"/>
          <w:i/>
          <w:iCs/>
          <w:color w:val="000000"/>
          <w:sz w:val="16"/>
          <w:szCs w:val="16"/>
        </w:rPr>
        <w:t xml:space="preserve">R 5 Indicatore di qualità relativa all'entità finanziaria dei progetti competitivi internazionali attivati - </w:t>
      </w:r>
      <w:r w:rsidRPr="00912430">
        <w:rPr>
          <w:rFonts w:ascii="Rubik" w:eastAsia="Times New Roman" w:hAnsi="Rubik" w:cs="Rubik" w:hint="cs"/>
          <w:color w:val="000000"/>
          <w:sz w:val="16"/>
          <w:szCs w:val="16"/>
        </w:rPr>
        <w:t>Nuovo indicatore nella VQR che misura l’entità finanziaria dei progetti competitivi internazionali dell’Istituzione effettivamente attivati (es. bandi europei tipo Horizon, ERC, ecc.), rispetto al totale dei progetti attivati nel Settore Concorsuale di riferimento.</w:t>
      </w:r>
    </w:p>
    <w:sectPr w:rsidR="00864E17" w:rsidRPr="00912430">
      <w:headerReference w:type="even" r:id="rId12"/>
      <w:headerReference w:type="default" r:id="rId13"/>
      <w:footerReference w:type="default" r:id="rId14"/>
      <w:headerReference w:type="first" r:id="rId15"/>
      <w:pgSz w:w="11900" w:h="16840"/>
      <w:pgMar w:top="2579" w:right="1134" w:bottom="1134" w:left="1418" w:header="708" w:footer="3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D70BC" w14:textId="77777777" w:rsidR="00CB09AF" w:rsidRDefault="00CB09AF">
      <w:r>
        <w:separator/>
      </w:r>
    </w:p>
  </w:endnote>
  <w:endnote w:type="continuationSeparator" w:id="0">
    <w:p w14:paraId="7DCD03DA" w14:textId="77777777" w:rsidR="00CB09AF" w:rsidRDefault="00CB0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20B06040202020202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ubik">
    <w:altName w:val="Arial"/>
    <w:panose1 w:val="020B0604020202020204"/>
    <w:charset w:val="B1"/>
    <w:family w:val="auto"/>
    <w:pitch w:val="variable"/>
    <w:sig w:usb0="A0002A6F" w:usb1="C000205B" w:usb2="00000000" w:usb3="00000000" w:csb0="000000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B702"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0D0D0D"/>
        <w:sz w:val="16"/>
        <w:szCs w:val="16"/>
      </w:rPr>
    </w:pPr>
    <w:r>
      <w:rPr>
        <w:rFonts w:ascii="Rubik" w:eastAsia="Rubik" w:hAnsi="Rubik" w:cs="Rubik"/>
        <w:color w:val="0D0D0D"/>
        <w:sz w:val="16"/>
        <w:szCs w:val="16"/>
      </w:rPr>
      <w:t xml:space="preserve">Ufficio stampa Università degli studi di Bergamo </w:t>
    </w:r>
  </w:p>
  <w:p w14:paraId="4D627761"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0D0D0D"/>
        <w:sz w:val="16"/>
        <w:szCs w:val="16"/>
      </w:rPr>
    </w:pPr>
    <w:r>
      <w:rPr>
        <w:rFonts w:ascii="Rubik" w:eastAsia="Rubik" w:hAnsi="Rubik" w:cs="Rubik"/>
        <w:color w:val="0D0D0D"/>
        <w:sz w:val="16"/>
        <w:szCs w:val="16"/>
      </w:rPr>
      <w:t>Claudia Rota</w:t>
    </w:r>
  </w:p>
  <w:p w14:paraId="558AB228"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0D0D0D"/>
        <w:sz w:val="16"/>
        <w:szCs w:val="16"/>
      </w:rPr>
    </w:pPr>
    <w:r>
      <w:rPr>
        <w:rFonts w:ascii="Rubik" w:eastAsia="Rubik" w:hAnsi="Rubik" w:cs="Rubik"/>
        <w:color w:val="0D0D0D"/>
        <w:sz w:val="16"/>
        <w:szCs w:val="16"/>
      </w:rPr>
      <w:t>claudia.rota@unibg.it</w:t>
    </w:r>
  </w:p>
  <w:p w14:paraId="44E19447" w14:textId="77777777" w:rsidR="007C29C7" w:rsidRDefault="001C3D94">
    <w:pPr>
      <w:pBdr>
        <w:top w:val="nil"/>
        <w:left w:val="nil"/>
        <w:bottom w:val="nil"/>
        <w:right w:val="nil"/>
        <w:between w:val="nil"/>
      </w:pBdr>
      <w:tabs>
        <w:tab w:val="center" w:pos="4819"/>
        <w:tab w:val="right" w:pos="9638"/>
      </w:tabs>
      <w:rPr>
        <w:rFonts w:ascii="Rubik" w:eastAsia="Rubik" w:hAnsi="Rubik" w:cs="Rubik"/>
        <w:color w:val="404040"/>
        <w:sz w:val="16"/>
        <w:szCs w:val="16"/>
      </w:rPr>
    </w:pPr>
    <w:r>
      <w:rPr>
        <w:rFonts w:ascii="Rubik" w:eastAsia="Rubik" w:hAnsi="Rubik" w:cs="Rubik"/>
        <w:color w:val="0D0D0D"/>
        <w:sz w:val="16"/>
        <w:szCs w:val="16"/>
      </w:rPr>
      <w:t xml:space="preserve">348 5100463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3CE12" w14:textId="77777777" w:rsidR="00CB09AF" w:rsidRDefault="00CB09AF">
      <w:r>
        <w:separator/>
      </w:r>
    </w:p>
  </w:footnote>
  <w:footnote w:type="continuationSeparator" w:id="0">
    <w:p w14:paraId="47936EE7" w14:textId="77777777" w:rsidR="00CB09AF" w:rsidRDefault="00CB0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B832E" w14:textId="77777777" w:rsidR="007C29C7" w:rsidRDefault="001C3D94">
    <w:pPr>
      <w:pBdr>
        <w:top w:val="nil"/>
        <w:left w:val="nil"/>
        <w:bottom w:val="nil"/>
        <w:right w:val="nil"/>
        <w:between w:val="nil"/>
      </w:pBdr>
      <w:tabs>
        <w:tab w:val="center" w:pos="4819"/>
        <w:tab w:val="right" w:pos="9638"/>
      </w:tabs>
      <w:rPr>
        <w:rFonts w:ascii="Calibri" w:eastAsia="Calibri" w:hAnsi="Calibri" w:cs="Calibri"/>
        <w:color w:val="000000"/>
      </w:rPr>
    </w:pPr>
    <w:r>
      <w:rPr>
        <w:rFonts w:ascii="Calibri" w:eastAsia="Calibri" w:hAnsi="Calibri" w:cs="Calibri"/>
        <w:noProof/>
        <w:color w:val="000000"/>
      </w:rPr>
      <w:drawing>
        <wp:anchor distT="0" distB="0" distL="0" distR="0" simplePos="0" relativeHeight="251656704" behindDoc="1" locked="0" layoutInCell="1" hidden="0" allowOverlap="1" wp14:anchorId="10ECC178" wp14:editId="65C6C254">
          <wp:simplePos x="0" y="0"/>
          <wp:positionH relativeFrom="margin">
            <wp:align>center</wp:align>
          </wp:positionH>
          <wp:positionV relativeFrom="margin">
            <wp:align>center</wp:align>
          </wp:positionV>
          <wp:extent cx="7562215" cy="1676400"/>
          <wp:effectExtent l="0" t="0" r="0" b="0"/>
          <wp:wrapNone/>
          <wp:docPr id="16" name="Immagine 1" descr="/Volumes/Estensione_DiscoFisso/CartaIntestata_UniBg_pulita/Header_generico_Tavola disegno 1.png"/>
          <wp:cNvGraphicFramePr/>
          <a:graphic xmlns:a="http://schemas.openxmlformats.org/drawingml/2006/main">
            <a:graphicData uri="http://schemas.openxmlformats.org/drawingml/2006/picture">
              <pic:pic xmlns:pic="http://schemas.openxmlformats.org/drawingml/2006/picture">
                <pic:nvPicPr>
                  <pic:cNvPr id="0" name="image2.png" descr="/Volumes/Estensione_DiscoFisso/CartaIntestata_UniBg_pulita/Header_generico_Tavola disegno 1.png"/>
                  <pic:cNvPicPr preferRelativeResize="0"/>
                </pic:nvPicPr>
                <pic:blipFill>
                  <a:blip r:embed="rId1"/>
                  <a:srcRect/>
                  <a:stretch>
                    <a:fillRect/>
                  </a:stretch>
                </pic:blipFill>
                <pic:spPr>
                  <a:xfrm>
                    <a:off x="0" y="0"/>
                    <a:ext cx="7562215" cy="1676400"/>
                  </a:xfrm>
                  <a:prstGeom prst="rect">
                    <a:avLst/>
                  </a:prstGeom>
                  <a:ln/>
                </pic:spPr>
              </pic:pic>
            </a:graphicData>
          </a:graphic>
        </wp:anchor>
      </w:drawing>
    </w:r>
    <w:r w:rsidR="00CB09AF">
      <w:rPr>
        <w:rFonts w:ascii="Calibri" w:eastAsia="Calibri" w:hAnsi="Calibri" w:cs="Calibri"/>
        <w:color w:val="000000"/>
      </w:rPr>
      <w:pict w14:anchorId="62039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alt="/Users/noemiborghese/Downloads/Header_Dirigenza/Header_DirettoreGenerale_Tavola disegno 1.png" style="position:absolute;margin-left:0;margin-top:0;width:595.45pt;height:132pt;z-index:-251656704;mso-wrap-edited:f;mso-width-percent:0;mso-height-percent:0;mso-position-horizontal:center;mso-position-horizontal-relative:margin;mso-position-vertical:center;mso-position-vertical-relative:margin;mso-width-percent:0;mso-height-percent:0">
          <v:imagedata r:id="rId2"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CDA2" w14:textId="267AE69B" w:rsidR="007C29C7" w:rsidRDefault="00CB09AF">
    <w:pPr>
      <w:pBdr>
        <w:top w:val="nil"/>
        <w:left w:val="nil"/>
        <w:bottom w:val="nil"/>
        <w:right w:val="nil"/>
        <w:between w:val="nil"/>
      </w:pBdr>
      <w:tabs>
        <w:tab w:val="center" w:pos="4819"/>
        <w:tab w:val="right" w:pos="9638"/>
      </w:tabs>
      <w:rPr>
        <w:rFonts w:ascii="Calibri" w:eastAsia="Calibri" w:hAnsi="Calibri" w:cs="Calibri"/>
        <w:color w:val="000000"/>
      </w:rPr>
    </w:pPr>
    <w:r>
      <w:rPr>
        <w:rFonts w:ascii="Calibri" w:eastAsia="Calibri" w:hAnsi="Calibri" w:cs="Calibri"/>
        <w:color w:val="000000"/>
      </w:rPr>
      <w:pict w14:anchorId="613B3E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Volumes/Estensione_DiscoFisso/CartaIntestata_UniBg_pulita/Header_generico_Tavola disegno 1.png" style="position:absolute;margin-left:-71.05pt;margin-top:-128.75pt;width:595.45pt;height:132pt;z-index:-251658752;mso-wrap-edited:f;mso-width-percent:0;mso-height-percent:0;mso-position-horizontal:absolute;mso-position-horizontal-relative:margin;mso-position-vertical:absolute;mso-position-vertical-relative:margin;mso-width-percent:0;mso-height-percent:0">
          <v:imagedata r:id="rId1" o:title="image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1E854" w14:textId="77777777" w:rsidR="007C29C7" w:rsidRDefault="001C3D94">
    <w:pPr>
      <w:pBdr>
        <w:top w:val="nil"/>
        <w:left w:val="nil"/>
        <w:bottom w:val="nil"/>
        <w:right w:val="nil"/>
        <w:between w:val="nil"/>
      </w:pBdr>
      <w:tabs>
        <w:tab w:val="center" w:pos="4819"/>
        <w:tab w:val="right" w:pos="9638"/>
      </w:tabs>
      <w:rPr>
        <w:rFonts w:ascii="Calibri" w:eastAsia="Calibri" w:hAnsi="Calibri" w:cs="Calibri"/>
        <w:color w:val="000000"/>
      </w:rPr>
    </w:pPr>
    <w:r>
      <w:rPr>
        <w:rFonts w:ascii="Calibri" w:eastAsia="Calibri" w:hAnsi="Calibri" w:cs="Calibri"/>
        <w:noProof/>
        <w:color w:val="000000"/>
      </w:rPr>
      <w:drawing>
        <wp:anchor distT="0" distB="0" distL="0" distR="0" simplePos="0" relativeHeight="251655680" behindDoc="1" locked="0" layoutInCell="1" hidden="0" allowOverlap="1" wp14:anchorId="00928D99" wp14:editId="114EC96D">
          <wp:simplePos x="0" y="0"/>
          <wp:positionH relativeFrom="margin">
            <wp:align>center</wp:align>
          </wp:positionH>
          <wp:positionV relativeFrom="margin">
            <wp:align>center</wp:align>
          </wp:positionV>
          <wp:extent cx="7562215" cy="1676400"/>
          <wp:effectExtent l="0" t="0" r="0" b="0"/>
          <wp:wrapNone/>
          <wp:docPr id="15" name="Immagine 2" descr="/Volumes/Estensione_DiscoFisso/CartaIntestata_UniBg_pulita/Header_generico_Tavola disegno 1.png"/>
          <wp:cNvGraphicFramePr/>
          <a:graphic xmlns:a="http://schemas.openxmlformats.org/drawingml/2006/main">
            <a:graphicData uri="http://schemas.openxmlformats.org/drawingml/2006/picture">
              <pic:pic xmlns:pic="http://schemas.openxmlformats.org/drawingml/2006/picture">
                <pic:nvPicPr>
                  <pic:cNvPr id="0" name="image2.png" descr="/Volumes/Estensione_DiscoFisso/CartaIntestata_UniBg_pulita/Header_generico_Tavola disegno 1.png"/>
                  <pic:cNvPicPr preferRelativeResize="0"/>
                </pic:nvPicPr>
                <pic:blipFill>
                  <a:blip r:embed="rId1"/>
                  <a:srcRect/>
                  <a:stretch>
                    <a:fillRect/>
                  </a:stretch>
                </pic:blipFill>
                <pic:spPr>
                  <a:xfrm>
                    <a:off x="0" y="0"/>
                    <a:ext cx="7562215" cy="1676400"/>
                  </a:xfrm>
                  <a:prstGeom prst="rect">
                    <a:avLst/>
                  </a:prstGeom>
                  <a:ln/>
                </pic:spPr>
              </pic:pic>
            </a:graphicData>
          </a:graphic>
        </wp:anchor>
      </w:drawing>
    </w:r>
    <w:r w:rsidR="00CB09AF">
      <w:rPr>
        <w:rFonts w:ascii="Calibri" w:eastAsia="Calibri" w:hAnsi="Calibri" w:cs="Calibri"/>
        <w:color w:val="000000"/>
      </w:rPr>
      <w:pict w14:anchorId="5A7D3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Users/noemiborghese/Downloads/Header_Dirigenza/Header_DirettoreGenerale_Tavola disegno 1.png" style="position:absolute;margin-left:0;margin-top:0;width:595.45pt;height:132pt;z-index:-251657728;mso-wrap-edited:f;mso-width-percent:0;mso-height-percent:0;mso-position-horizontal:center;mso-position-horizontal-relative:margin;mso-position-vertical:center;mso-position-vertical-relative:margin;mso-width-percent:0;mso-height-percent:0">
          <v:imagedata r:id="rId2"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30C59"/>
    <w:multiLevelType w:val="multilevel"/>
    <w:tmpl w:val="B17E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11D55"/>
    <w:multiLevelType w:val="multilevel"/>
    <w:tmpl w:val="F57A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C7231"/>
    <w:multiLevelType w:val="multilevel"/>
    <w:tmpl w:val="1E2E2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D065B"/>
    <w:multiLevelType w:val="multilevel"/>
    <w:tmpl w:val="0420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F944AA"/>
    <w:multiLevelType w:val="multilevel"/>
    <w:tmpl w:val="F462F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8DB2EC4"/>
    <w:multiLevelType w:val="multilevel"/>
    <w:tmpl w:val="AE66FA0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7A7177"/>
    <w:multiLevelType w:val="multilevel"/>
    <w:tmpl w:val="4D88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05344"/>
    <w:multiLevelType w:val="multilevel"/>
    <w:tmpl w:val="331C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B30810"/>
    <w:multiLevelType w:val="multilevel"/>
    <w:tmpl w:val="1D4C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F1883"/>
    <w:multiLevelType w:val="multilevel"/>
    <w:tmpl w:val="15DA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9608C"/>
    <w:multiLevelType w:val="multilevel"/>
    <w:tmpl w:val="3862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9A582F"/>
    <w:multiLevelType w:val="multilevel"/>
    <w:tmpl w:val="AAB2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8425E"/>
    <w:multiLevelType w:val="multilevel"/>
    <w:tmpl w:val="C414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2D1E4B"/>
    <w:multiLevelType w:val="multilevel"/>
    <w:tmpl w:val="C7F20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D7F40"/>
    <w:multiLevelType w:val="hybridMultilevel"/>
    <w:tmpl w:val="FAA2A25C"/>
    <w:lvl w:ilvl="0" w:tplc="152CA286">
      <w:start w:val="1"/>
      <w:numFmt w:val="decimal"/>
      <w:lvlText w:val="%1)"/>
      <w:lvlJc w:val="left"/>
      <w:pPr>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318B6350"/>
    <w:multiLevelType w:val="hybridMultilevel"/>
    <w:tmpl w:val="6226BF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180768"/>
    <w:multiLevelType w:val="multilevel"/>
    <w:tmpl w:val="838C2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0C6B0E"/>
    <w:multiLevelType w:val="multilevel"/>
    <w:tmpl w:val="942A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E65A3A"/>
    <w:multiLevelType w:val="hybridMultilevel"/>
    <w:tmpl w:val="3E86E85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4F0254A7"/>
    <w:multiLevelType w:val="hybridMultilevel"/>
    <w:tmpl w:val="681099E2"/>
    <w:lvl w:ilvl="0" w:tplc="777C4988">
      <w:numFmt w:val="bullet"/>
      <w:lvlText w:val="-"/>
      <w:lvlJc w:val="left"/>
      <w:pPr>
        <w:ind w:left="360" w:hanging="360"/>
      </w:pPr>
      <w:rPr>
        <w:rFonts w:ascii="Times New Roman" w:eastAsia="Times New Roman" w:hAnsi="Times New Roman" w:cs="Times New Roman" w:hint="default"/>
        <w:color w:val="00000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4F2C1DD6"/>
    <w:multiLevelType w:val="multilevel"/>
    <w:tmpl w:val="BA32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87314"/>
    <w:multiLevelType w:val="multilevel"/>
    <w:tmpl w:val="146A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700496"/>
    <w:multiLevelType w:val="multilevel"/>
    <w:tmpl w:val="1AC2F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3B5CF8"/>
    <w:multiLevelType w:val="multilevel"/>
    <w:tmpl w:val="C17E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4C5C4A"/>
    <w:multiLevelType w:val="multilevel"/>
    <w:tmpl w:val="ADFC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4A22A0"/>
    <w:multiLevelType w:val="multilevel"/>
    <w:tmpl w:val="2DEA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F30839"/>
    <w:multiLevelType w:val="multilevel"/>
    <w:tmpl w:val="5B36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14148"/>
    <w:multiLevelType w:val="hybridMultilevel"/>
    <w:tmpl w:val="5F522D96"/>
    <w:lvl w:ilvl="0" w:tplc="AD201C26">
      <w:start w:val="1"/>
      <w:numFmt w:val="decimal"/>
      <w:lvlText w:val="%1."/>
      <w:lvlJc w:val="left"/>
      <w:pPr>
        <w:ind w:left="720" w:hanging="360"/>
      </w:pPr>
      <w:rPr>
        <w:rFonts w:hint="default"/>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A2C42F9"/>
    <w:multiLevelType w:val="multilevel"/>
    <w:tmpl w:val="2278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F6578E"/>
    <w:multiLevelType w:val="multilevel"/>
    <w:tmpl w:val="3B98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0891288">
    <w:abstractNumId w:val="9"/>
  </w:num>
  <w:num w:numId="2" w16cid:durableId="1694719780">
    <w:abstractNumId w:val="6"/>
  </w:num>
  <w:num w:numId="3" w16cid:durableId="437988418">
    <w:abstractNumId w:val="11"/>
  </w:num>
  <w:num w:numId="4" w16cid:durableId="410734966">
    <w:abstractNumId w:val="0"/>
  </w:num>
  <w:num w:numId="5" w16cid:durableId="1839995832">
    <w:abstractNumId w:val="17"/>
  </w:num>
  <w:num w:numId="6" w16cid:durableId="1689020828">
    <w:abstractNumId w:val="12"/>
  </w:num>
  <w:num w:numId="7" w16cid:durableId="266470059">
    <w:abstractNumId w:val="16"/>
  </w:num>
  <w:num w:numId="8" w16cid:durableId="935138782">
    <w:abstractNumId w:val="3"/>
  </w:num>
  <w:num w:numId="9" w16cid:durableId="242882547">
    <w:abstractNumId w:val="21"/>
  </w:num>
  <w:num w:numId="10" w16cid:durableId="1947618309">
    <w:abstractNumId w:val="25"/>
  </w:num>
  <w:num w:numId="11" w16cid:durableId="737092693">
    <w:abstractNumId w:val="18"/>
  </w:num>
  <w:num w:numId="12" w16cid:durableId="6961944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974727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7462325">
    <w:abstractNumId w:val="19"/>
  </w:num>
  <w:num w:numId="15" w16cid:durableId="613831411">
    <w:abstractNumId w:val="28"/>
  </w:num>
  <w:num w:numId="16" w16cid:durableId="1110123421">
    <w:abstractNumId w:val="7"/>
  </w:num>
  <w:num w:numId="17" w16cid:durableId="1208637518">
    <w:abstractNumId w:val="1"/>
  </w:num>
  <w:num w:numId="18" w16cid:durableId="1649823498">
    <w:abstractNumId w:val="14"/>
  </w:num>
  <w:num w:numId="19" w16cid:durableId="219365538">
    <w:abstractNumId w:val="24"/>
  </w:num>
  <w:num w:numId="20" w16cid:durableId="1050543124">
    <w:abstractNumId w:val="26"/>
  </w:num>
  <w:num w:numId="21" w16cid:durableId="1191069013">
    <w:abstractNumId w:val="23"/>
  </w:num>
  <w:num w:numId="22" w16cid:durableId="692196000">
    <w:abstractNumId w:val="20"/>
  </w:num>
  <w:num w:numId="23" w16cid:durableId="289090854">
    <w:abstractNumId w:val="10"/>
  </w:num>
  <w:num w:numId="24" w16cid:durableId="1905796040">
    <w:abstractNumId w:val="15"/>
  </w:num>
  <w:num w:numId="25" w16cid:durableId="539361414">
    <w:abstractNumId w:val="29"/>
  </w:num>
  <w:num w:numId="26" w16cid:durableId="6756659">
    <w:abstractNumId w:val="8"/>
  </w:num>
  <w:num w:numId="27" w16cid:durableId="264701326">
    <w:abstractNumId w:val="22"/>
  </w:num>
  <w:num w:numId="28" w16cid:durableId="1534804934">
    <w:abstractNumId w:val="2"/>
  </w:num>
  <w:num w:numId="29" w16cid:durableId="325524328">
    <w:abstractNumId w:val="13"/>
  </w:num>
  <w:num w:numId="30" w16cid:durableId="11611156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efaultTabStop w:val="720"/>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9C7"/>
    <w:rsid w:val="00001A08"/>
    <w:rsid w:val="00003045"/>
    <w:rsid w:val="00004F06"/>
    <w:rsid w:val="00013102"/>
    <w:rsid w:val="0001312F"/>
    <w:rsid w:val="00015CE5"/>
    <w:rsid w:val="000162B5"/>
    <w:rsid w:val="00022F13"/>
    <w:rsid w:val="0003778D"/>
    <w:rsid w:val="000434F5"/>
    <w:rsid w:val="000453A1"/>
    <w:rsid w:val="00045FC2"/>
    <w:rsid w:val="00047A62"/>
    <w:rsid w:val="00060A6D"/>
    <w:rsid w:val="0007298F"/>
    <w:rsid w:val="00072F53"/>
    <w:rsid w:val="0007777E"/>
    <w:rsid w:val="00094222"/>
    <w:rsid w:val="00095626"/>
    <w:rsid w:val="000975ED"/>
    <w:rsid w:val="000A00C3"/>
    <w:rsid w:val="000A4DFC"/>
    <w:rsid w:val="000A5632"/>
    <w:rsid w:val="000A6AFC"/>
    <w:rsid w:val="000D12C0"/>
    <w:rsid w:val="000D2720"/>
    <w:rsid w:val="000D2CA4"/>
    <w:rsid w:val="000D4AC0"/>
    <w:rsid w:val="000D6C04"/>
    <w:rsid w:val="000E2907"/>
    <w:rsid w:val="000F4740"/>
    <w:rsid w:val="000F58F2"/>
    <w:rsid w:val="00102624"/>
    <w:rsid w:val="00103150"/>
    <w:rsid w:val="00103B96"/>
    <w:rsid w:val="0011190C"/>
    <w:rsid w:val="00115C93"/>
    <w:rsid w:val="0012098F"/>
    <w:rsid w:val="00122B06"/>
    <w:rsid w:val="00126744"/>
    <w:rsid w:val="00126815"/>
    <w:rsid w:val="00126FAB"/>
    <w:rsid w:val="00130B07"/>
    <w:rsid w:val="00135484"/>
    <w:rsid w:val="00142A87"/>
    <w:rsid w:val="00146DBB"/>
    <w:rsid w:val="00152493"/>
    <w:rsid w:val="00160527"/>
    <w:rsid w:val="0016086F"/>
    <w:rsid w:val="001611B8"/>
    <w:rsid w:val="00162617"/>
    <w:rsid w:val="00162F49"/>
    <w:rsid w:val="001635E9"/>
    <w:rsid w:val="001660F4"/>
    <w:rsid w:val="0016679F"/>
    <w:rsid w:val="001727BC"/>
    <w:rsid w:val="0017493A"/>
    <w:rsid w:val="00186E51"/>
    <w:rsid w:val="00190A94"/>
    <w:rsid w:val="0019224D"/>
    <w:rsid w:val="00194DF7"/>
    <w:rsid w:val="001967A9"/>
    <w:rsid w:val="001A3A45"/>
    <w:rsid w:val="001A7430"/>
    <w:rsid w:val="001B6B89"/>
    <w:rsid w:val="001C2D0B"/>
    <w:rsid w:val="001C3D94"/>
    <w:rsid w:val="001D4416"/>
    <w:rsid w:val="001D5E33"/>
    <w:rsid w:val="001D666A"/>
    <w:rsid w:val="001D6C55"/>
    <w:rsid w:val="001D70D0"/>
    <w:rsid w:val="001E2F27"/>
    <w:rsid w:val="001F0D20"/>
    <w:rsid w:val="001F1006"/>
    <w:rsid w:val="001F7800"/>
    <w:rsid w:val="00201407"/>
    <w:rsid w:val="00201DB9"/>
    <w:rsid w:val="002054ED"/>
    <w:rsid w:val="00207010"/>
    <w:rsid w:val="00210A3F"/>
    <w:rsid w:val="002222DE"/>
    <w:rsid w:val="002266D1"/>
    <w:rsid w:val="00235FF2"/>
    <w:rsid w:val="0023614C"/>
    <w:rsid w:val="00242EDB"/>
    <w:rsid w:val="00245167"/>
    <w:rsid w:val="00247AB2"/>
    <w:rsid w:val="002500FA"/>
    <w:rsid w:val="00251E12"/>
    <w:rsid w:val="00252858"/>
    <w:rsid w:val="0025485F"/>
    <w:rsid w:val="00256051"/>
    <w:rsid w:val="00256742"/>
    <w:rsid w:val="00260C0B"/>
    <w:rsid w:val="00261058"/>
    <w:rsid w:val="00262C57"/>
    <w:rsid w:val="002640B0"/>
    <w:rsid w:val="00267060"/>
    <w:rsid w:val="00267ABD"/>
    <w:rsid w:val="00271BE8"/>
    <w:rsid w:val="0027512F"/>
    <w:rsid w:val="00276476"/>
    <w:rsid w:val="002801E8"/>
    <w:rsid w:val="002805DB"/>
    <w:rsid w:val="00284CA6"/>
    <w:rsid w:val="00287481"/>
    <w:rsid w:val="00291095"/>
    <w:rsid w:val="002A57A1"/>
    <w:rsid w:val="002A7937"/>
    <w:rsid w:val="002B3D85"/>
    <w:rsid w:val="002B49D5"/>
    <w:rsid w:val="002D0697"/>
    <w:rsid w:val="002E3E77"/>
    <w:rsid w:val="002E4361"/>
    <w:rsid w:val="002E4DA9"/>
    <w:rsid w:val="002F0F8C"/>
    <w:rsid w:val="002F1308"/>
    <w:rsid w:val="002F2E08"/>
    <w:rsid w:val="002F2EFF"/>
    <w:rsid w:val="002F6B7B"/>
    <w:rsid w:val="00303BC2"/>
    <w:rsid w:val="003167DC"/>
    <w:rsid w:val="00317B14"/>
    <w:rsid w:val="00322075"/>
    <w:rsid w:val="003243D6"/>
    <w:rsid w:val="003279AB"/>
    <w:rsid w:val="00330F0B"/>
    <w:rsid w:val="00332FAC"/>
    <w:rsid w:val="00334242"/>
    <w:rsid w:val="00336391"/>
    <w:rsid w:val="00342F9C"/>
    <w:rsid w:val="003444E4"/>
    <w:rsid w:val="00344CE3"/>
    <w:rsid w:val="00350D91"/>
    <w:rsid w:val="00354B70"/>
    <w:rsid w:val="003605F2"/>
    <w:rsid w:val="0036108A"/>
    <w:rsid w:val="0036598F"/>
    <w:rsid w:val="003822A4"/>
    <w:rsid w:val="00393E25"/>
    <w:rsid w:val="00397809"/>
    <w:rsid w:val="003A19A4"/>
    <w:rsid w:val="003A390F"/>
    <w:rsid w:val="003A77B9"/>
    <w:rsid w:val="003B4B77"/>
    <w:rsid w:val="003C1A74"/>
    <w:rsid w:val="003C7E36"/>
    <w:rsid w:val="003D5929"/>
    <w:rsid w:val="003D608C"/>
    <w:rsid w:val="003E2DF1"/>
    <w:rsid w:val="003E78A4"/>
    <w:rsid w:val="003F10BC"/>
    <w:rsid w:val="003F39B8"/>
    <w:rsid w:val="003F4AC0"/>
    <w:rsid w:val="00400CEB"/>
    <w:rsid w:val="00400ECE"/>
    <w:rsid w:val="00404C79"/>
    <w:rsid w:val="004063FB"/>
    <w:rsid w:val="0040789F"/>
    <w:rsid w:val="00412268"/>
    <w:rsid w:val="00414613"/>
    <w:rsid w:val="00415278"/>
    <w:rsid w:val="00424D5F"/>
    <w:rsid w:val="00426E6A"/>
    <w:rsid w:val="00430F4A"/>
    <w:rsid w:val="00431EB1"/>
    <w:rsid w:val="0044264F"/>
    <w:rsid w:val="00447474"/>
    <w:rsid w:val="00456EA1"/>
    <w:rsid w:val="00457BE3"/>
    <w:rsid w:val="0046348B"/>
    <w:rsid w:val="00474372"/>
    <w:rsid w:val="004772CE"/>
    <w:rsid w:val="00485AD6"/>
    <w:rsid w:val="00485F68"/>
    <w:rsid w:val="00491F41"/>
    <w:rsid w:val="00493921"/>
    <w:rsid w:val="0049562F"/>
    <w:rsid w:val="004A1073"/>
    <w:rsid w:val="004A1443"/>
    <w:rsid w:val="004A5C2E"/>
    <w:rsid w:val="004B3326"/>
    <w:rsid w:val="004B76E9"/>
    <w:rsid w:val="004C06D6"/>
    <w:rsid w:val="004C10B9"/>
    <w:rsid w:val="004C2EAE"/>
    <w:rsid w:val="004C3806"/>
    <w:rsid w:val="004C4159"/>
    <w:rsid w:val="004C7DBE"/>
    <w:rsid w:val="004D4D81"/>
    <w:rsid w:val="004E1E80"/>
    <w:rsid w:val="004E7E4D"/>
    <w:rsid w:val="004F0762"/>
    <w:rsid w:val="004F1235"/>
    <w:rsid w:val="004F2712"/>
    <w:rsid w:val="004F485D"/>
    <w:rsid w:val="00500F96"/>
    <w:rsid w:val="00505C85"/>
    <w:rsid w:val="00507CA4"/>
    <w:rsid w:val="005119C7"/>
    <w:rsid w:val="00513530"/>
    <w:rsid w:val="0051455E"/>
    <w:rsid w:val="0052417B"/>
    <w:rsid w:val="00525EB0"/>
    <w:rsid w:val="00532631"/>
    <w:rsid w:val="00543B3A"/>
    <w:rsid w:val="005442B8"/>
    <w:rsid w:val="00545251"/>
    <w:rsid w:val="00546FAE"/>
    <w:rsid w:val="00547216"/>
    <w:rsid w:val="00557F8B"/>
    <w:rsid w:val="00570AED"/>
    <w:rsid w:val="00573819"/>
    <w:rsid w:val="0057496F"/>
    <w:rsid w:val="00575179"/>
    <w:rsid w:val="005762C2"/>
    <w:rsid w:val="00576DC0"/>
    <w:rsid w:val="0058734C"/>
    <w:rsid w:val="00587420"/>
    <w:rsid w:val="005926A2"/>
    <w:rsid w:val="005977FD"/>
    <w:rsid w:val="005A033F"/>
    <w:rsid w:val="005A0AD6"/>
    <w:rsid w:val="005B109E"/>
    <w:rsid w:val="005B42D2"/>
    <w:rsid w:val="005B4C95"/>
    <w:rsid w:val="005C52E8"/>
    <w:rsid w:val="005C549E"/>
    <w:rsid w:val="005C5BAF"/>
    <w:rsid w:val="005D6A32"/>
    <w:rsid w:val="005E08BF"/>
    <w:rsid w:val="005E0E17"/>
    <w:rsid w:val="005E1D5B"/>
    <w:rsid w:val="005E2EE7"/>
    <w:rsid w:val="005F0829"/>
    <w:rsid w:val="005F6788"/>
    <w:rsid w:val="006048D4"/>
    <w:rsid w:val="00623FDA"/>
    <w:rsid w:val="00624C8D"/>
    <w:rsid w:val="00627535"/>
    <w:rsid w:val="006403B2"/>
    <w:rsid w:val="00640C81"/>
    <w:rsid w:val="00641970"/>
    <w:rsid w:val="00643C3F"/>
    <w:rsid w:val="00651E71"/>
    <w:rsid w:val="006534ED"/>
    <w:rsid w:val="006570EE"/>
    <w:rsid w:val="00683ED1"/>
    <w:rsid w:val="006908E5"/>
    <w:rsid w:val="006A41D6"/>
    <w:rsid w:val="006A5228"/>
    <w:rsid w:val="006A6942"/>
    <w:rsid w:val="006C16E0"/>
    <w:rsid w:val="006C1C00"/>
    <w:rsid w:val="006C372E"/>
    <w:rsid w:val="006C58F4"/>
    <w:rsid w:val="006C6905"/>
    <w:rsid w:val="006E4C37"/>
    <w:rsid w:val="006E6223"/>
    <w:rsid w:val="006F4547"/>
    <w:rsid w:val="006F4D9F"/>
    <w:rsid w:val="006F6923"/>
    <w:rsid w:val="00702FB2"/>
    <w:rsid w:val="00703F46"/>
    <w:rsid w:val="00704377"/>
    <w:rsid w:val="007135A3"/>
    <w:rsid w:val="007247DB"/>
    <w:rsid w:val="0072694A"/>
    <w:rsid w:val="00726E06"/>
    <w:rsid w:val="00731D61"/>
    <w:rsid w:val="00734E3E"/>
    <w:rsid w:val="00737D94"/>
    <w:rsid w:val="00747A5C"/>
    <w:rsid w:val="007542A1"/>
    <w:rsid w:val="00754FB4"/>
    <w:rsid w:val="00762EA1"/>
    <w:rsid w:val="007630E9"/>
    <w:rsid w:val="007755E9"/>
    <w:rsid w:val="0078031C"/>
    <w:rsid w:val="007818E0"/>
    <w:rsid w:val="0078415F"/>
    <w:rsid w:val="00784211"/>
    <w:rsid w:val="00785440"/>
    <w:rsid w:val="00785C27"/>
    <w:rsid w:val="00785C9A"/>
    <w:rsid w:val="007866BB"/>
    <w:rsid w:val="007917F4"/>
    <w:rsid w:val="007A2870"/>
    <w:rsid w:val="007A66F7"/>
    <w:rsid w:val="007A6D90"/>
    <w:rsid w:val="007B31E7"/>
    <w:rsid w:val="007C19B3"/>
    <w:rsid w:val="007C29C7"/>
    <w:rsid w:val="007D375D"/>
    <w:rsid w:val="007E6002"/>
    <w:rsid w:val="007F2F89"/>
    <w:rsid w:val="007F4361"/>
    <w:rsid w:val="007F757F"/>
    <w:rsid w:val="00801F4E"/>
    <w:rsid w:val="00805ACC"/>
    <w:rsid w:val="0081731C"/>
    <w:rsid w:val="00820185"/>
    <w:rsid w:val="00822430"/>
    <w:rsid w:val="008231F1"/>
    <w:rsid w:val="00823845"/>
    <w:rsid w:val="0083266A"/>
    <w:rsid w:val="00833F4A"/>
    <w:rsid w:val="00835154"/>
    <w:rsid w:val="00845268"/>
    <w:rsid w:val="00847DC8"/>
    <w:rsid w:val="008540E7"/>
    <w:rsid w:val="00857C7B"/>
    <w:rsid w:val="0086408D"/>
    <w:rsid w:val="00864E17"/>
    <w:rsid w:val="008918AA"/>
    <w:rsid w:val="008953A3"/>
    <w:rsid w:val="008964D8"/>
    <w:rsid w:val="008A02D5"/>
    <w:rsid w:val="008B0B72"/>
    <w:rsid w:val="008C2DE6"/>
    <w:rsid w:val="008C6AC6"/>
    <w:rsid w:val="008D4802"/>
    <w:rsid w:val="008D4837"/>
    <w:rsid w:val="008D62E7"/>
    <w:rsid w:val="008D7E3A"/>
    <w:rsid w:val="008E5D09"/>
    <w:rsid w:val="008E76CB"/>
    <w:rsid w:val="008F443F"/>
    <w:rsid w:val="00902AA8"/>
    <w:rsid w:val="00906A0E"/>
    <w:rsid w:val="009115F4"/>
    <w:rsid w:val="00912430"/>
    <w:rsid w:val="00915854"/>
    <w:rsid w:val="00917F05"/>
    <w:rsid w:val="00920865"/>
    <w:rsid w:val="00923C67"/>
    <w:rsid w:val="00924E0A"/>
    <w:rsid w:val="00934173"/>
    <w:rsid w:val="00934A72"/>
    <w:rsid w:val="00943013"/>
    <w:rsid w:val="0094332D"/>
    <w:rsid w:val="00945112"/>
    <w:rsid w:val="00947A6A"/>
    <w:rsid w:val="00953D7B"/>
    <w:rsid w:val="0095762E"/>
    <w:rsid w:val="00960660"/>
    <w:rsid w:val="00961A1C"/>
    <w:rsid w:val="009634EF"/>
    <w:rsid w:val="00964BC6"/>
    <w:rsid w:val="00976D8E"/>
    <w:rsid w:val="00986CF4"/>
    <w:rsid w:val="00987196"/>
    <w:rsid w:val="009925DF"/>
    <w:rsid w:val="009A4C79"/>
    <w:rsid w:val="009B0F7B"/>
    <w:rsid w:val="009B2AD6"/>
    <w:rsid w:val="009B5296"/>
    <w:rsid w:val="009B57B5"/>
    <w:rsid w:val="009C25EE"/>
    <w:rsid w:val="009C2DF4"/>
    <w:rsid w:val="009C4CFA"/>
    <w:rsid w:val="009C5BA0"/>
    <w:rsid w:val="009D536F"/>
    <w:rsid w:val="009E511D"/>
    <w:rsid w:val="009E79E9"/>
    <w:rsid w:val="009F5BC3"/>
    <w:rsid w:val="009F688E"/>
    <w:rsid w:val="009F759D"/>
    <w:rsid w:val="00A025A6"/>
    <w:rsid w:val="00A04FB3"/>
    <w:rsid w:val="00A055F5"/>
    <w:rsid w:val="00A126FA"/>
    <w:rsid w:val="00A1571A"/>
    <w:rsid w:val="00A168E2"/>
    <w:rsid w:val="00A20987"/>
    <w:rsid w:val="00A23A14"/>
    <w:rsid w:val="00A33970"/>
    <w:rsid w:val="00A343BE"/>
    <w:rsid w:val="00A35F1C"/>
    <w:rsid w:val="00A44FDA"/>
    <w:rsid w:val="00A5339E"/>
    <w:rsid w:val="00A61283"/>
    <w:rsid w:val="00A61B75"/>
    <w:rsid w:val="00A62098"/>
    <w:rsid w:val="00A66448"/>
    <w:rsid w:val="00A73B8E"/>
    <w:rsid w:val="00A756C9"/>
    <w:rsid w:val="00A76F51"/>
    <w:rsid w:val="00A7713C"/>
    <w:rsid w:val="00A80F6D"/>
    <w:rsid w:val="00A84F3A"/>
    <w:rsid w:val="00A9550F"/>
    <w:rsid w:val="00A95869"/>
    <w:rsid w:val="00A95C93"/>
    <w:rsid w:val="00A96303"/>
    <w:rsid w:val="00AA1DBF"/>
    <w:rsid w:val="00AB35C4"/>
    <w:rsid w:val="00AC3AAE"/>
    <w:rsid w:val="00AC4C9E"/>
    <w:rsid w:val="00AE224B"/>
    <w:rsid w:val="00AE4AC8"/>
    <w:rsid w:val="00AE7772"/>
    <w:rsid w:val="00AF28D3"/>
    <w:rsid w:val="00AF7767"/>
    <w:rsid w:val="00B0291B"/>
    <w:rsid w:val="00B02D1D"/>
    <w:rsid w:val="00B05A2C"/>
    <w:rsid w:val="00B11117"/>
    <w:rsid w:val="00B1174E"/>
    <w:rsid w:val="00B21D80"/>
    <w:rsid w:val="00B24BFD"/>
    <w:rsid w:val="00B24FF1"/>
    <w:rsid w:val="00B2715C"/>
    <w:rsid w:val="00B303AF"/>
    <w:rsid w:val="00B47613"/>
    <w:rsid w:val="00B54D30"/>
    <w:rsid w:val="00B57147"/>
    <w:rsid w:val="00B624E0"/>
    <w:rsid w:val="00B62DD6"/>
    <w:rsid w:val="00B631CE"/>
    <w:rsid w:val="00B64036"/>
    <w:rsid w:val="00B65302"/>
    <w:rsid w:val="00B659EC"/>
    <w:rsid w:val="00B66003"/>
    <w:rsid w:val="00B8103A"/>
    <w:rsid w:val="00B8104F"/>
    <w:rsid w:val="00B810CD"/>
    <w:rsid w:val="00B845B2"/>
    <w:rsid w:val="00B908CD"/>
    <w:rsid w:val="00B91193"/>
    <w:rsid w:val="00B915F0"/>
    <w:rsid w:val="00B944D4"/>
    <w:rsid w:val="00B95EEE"/>
    <w:rsid w:val="00BA02CF"/>
    <w:rsid w:val="00BA0C9D"/>
    <w:rsid w:val="00BA127D"/>
    <w:rsid w:val="00BA2B90"/>
    <w:rsid w:val="00BA4A70"/>
    <w:rsid w:val="00BA52CC"/>
    <w:rsid w:val="00BA630D"/>
    <w:rsid w:val="00BB0AC6"/>
    <w:rsid w:val="00BC42D5"/>
    <w:rsid w:val="00BC7A7D"/>
    <w:rsid w:val="00BD4D58"/>
    <w:rsid w:val="00BE333F"/>
    <w:rsid w:val="00BE4416"/>
    <w:rsid w:val="00BE6648"/>
    <w:rsid w:val="00BE6676"/>
    <w:rsid w:val="00BF1A79"/>
    <w:rsid w:val="00BF3038"/>
    <w:rsid w:val="00C02775"/>
    <w:rsid w:val="00C14561"/>
    <w:rsid w:val="00C23F79"/>
    <w:rsid w:val="00C4263A"/>
    <w:rsid w:val="00C43326"/>
    <w:rsid w:val="00C433AF"/>
    <w:rsid w:val="00C47A78"/>
    <w:rsid w:val="00C5507E"/>
    <w:rsid w:val="00C56502"/>
    <w:rsid w:val="00C61FE6"/>
    <w:rsid w:val="00C65983"/>
    <w:rsid w:val="00C65CA5"/>
    <w:rsid w:val="00C73F96"/>
    <w:rsid w:val="00C740AF"/>
    <w:rsid w:val="00C9095A"/>
    <w:rsid w:val="00C92C99"/>
    <w:rsid w:val="00CA257E"/>
    <w:rsid w:val="00CA6E24"/>
    <w:rsid w:val="00CB09AF"/>
    <w:rsid w:val="00CB516A"/>
    <w:rsid w:val="00CC0FA2"/>
    <w:rsid w:val="00CC4769"/>
    <w:rsid w:val="00CC5E2B"/>
    <w:rsid w:val="00CD2982"/>
    <w:rsid w:val="00CE1FB9"/>
    <w:rsid w:val="00CF5B58"/>
    <w:rsid w:val="00D00EC9"/>
    <w:rsid w:val="00D0195F"/>
    <w:rsid w:val="00D126B7"/>
    <w:rsid w:val="00D2033F"/>
    <w:rsid w:val="00D22E51"/>
    <w:rsid w:val="00D249F2"/>
    <w:rsid w:val="00D269AB"/>
    <w:rsid w:val="00D336AB"/>
    <w:rsid w:val="00D34401"/>
    <w:rsid w:val="00D36B0E"/>
    <w:rsid w:val="00D41AF4"/>
    <w:rsid w:val="00D43295"/>
    <w:rsid w:val="00D50E0B"/>
    <w:rsid w:val="00D5796F"/>
    <w:rsid w:val="00D7373C"/>
    <w:rsid w:val="00D73BB7"/>
    <w:rsid w:val="00D75739"/>
    <w:rsid w:val="00D86466"/>
    <w:rsid w:val="00D866DB"/>
    <w:rsid w:val="00D94562"/>
    <w:rsid w:val="00D971A6"/>
    <w:rsid w:val="00DA2017"/>
    <w:rsid w:val="00DA2655"/>
    <w:rsid w:val="00DB4BFD"/>
    <w:rsid w:val="00DC19B5"/>
    <w:rsid w:val="00DC588B"/>
    <w:rsid w:val="00DC5AD5"/>
    <w:rsid w:val="00DC6FC9"/>
    <w:rsid w:val="00DD0E05"/>
    <w:rsid w:val="00DD36F9"/>
    <w:rsid w:val="00DE22A4"/>
    <w:rsid w:val="00DE3A7E"/>
    <w:rsid w:val="00DE52A8"/>
    <w:rsid w:val="00DF33A7"/>
    <w:rsid w:val="00DF74BB"/>
    <w:rsid w:val="00E00160"/>
    <w:rsid w:val="00E06571"/>
    <w:rsid w:val="00E12F07"/>
    <w:rsid w:val="00E138A5"/>
    <w:rsid w:val="00E233BF"/>
    <w:rsid w:val="00E24970"/>
    <w:rsid w:val="00E31F8B"/>
    <w:rsid w:val="00E35BD8"/>
    <w:rsid w:val="00E37A21"/>
    <w:rsid w:val="00E40EB6"/>
    <w:rsid w:val="00E45D05"/>
    <w:rsid w:val="00E51A65"/>
    <w:rsid w:val="00E63F56"/>
    <w:rsid w:val="00E77FF0"/>
    <w:rsid w:val="00E87AF9"/>
    <w:rsid w:val="00E90BFA"/>
    <w:rsid w:val="00E9359C"/>
    <w:rsid w:val="00E9723E"/>
    <w:rsid w:val="00E97B2F"/>
    <w:rsid w:val="00EA0661"/>
    <w:rsid w:val="00EB63EF"/>
    <w:rsid w:val="00EC13E9"/>
    <w:rsid w:val="00ED113A"/>
    <w:rsid w:val="00ED4A9B"/>
    <w:rsid w:val="00EE3579"/>
    <w:rsid w:val="00EE6854"/>
    <w:rsid w:val="00EF2C8D"/>
    <w:rsid w:val="00EF7365"/>
    <w:rsid w:val="00F02708"/>
    <w:rsid w:val="00F03125"/>
    <w:rsid w:val="00F0345C"/>
    <w:rsid w:val="00F050DF"/>
    <w:rsid w:val="00F138A9"/>
    <w:rsid w:val="00F140C5"/>
    <w:rsid w:val="00F16CAF"/>
    <w:rsid w:val="00F22490"/>
    <w:rsid w:val="00F2262D"/>
    <w:rsid w:val="00F2596C"/>
    <w:rsid w:val="00F25FFD"/>
    <w:rsid w:val="00F3332F"/>
    <w:rsid w:val="00F34CA1"/>
    <w:rsid w:val="00F35462"/>
    <w:rsid w:val="00F35569"/>
    <w:rsid w:val="00F35800"/>
    <w:rsid w:val="00F45205"/>
    <w:rsid w:val="00F47F11"/>
    <w:rsid w:val="00F544B7"/>
    <w:rsid w:val="00F549A4"/>
    <w:rsid w:val="00F61828"/>
    <w:rsid w:val="00F65783"/>
    <w:rsid w:val="00F805FF"/>
    <w:rsid w:val="00F90C5F"/>
    <w:rsid w:val="00F92917"/>
    <w:rsid w:val="00F95E43"/>
    <w:rsid w:val="00F9680F"/>
    <w:rsid w:val="00F97147"/>
    <w:rsid w:val="00FA38B4"/>
    <w:rsid w:val="00FA6804"/>
    <w:rsid w:val="00FB1FE2"/>
    <w:rsid w:val="00FB59AA"/>
    <w:rsid w:val="00FB7FB1"/>
    <w:rsid w:val="00FC269F"/>
    <w:rsid w:val="00FD4E9C"/>
    <w:rsid w:val="00FD5A60"/>
    <w:rsid w:val="00FD6170"/>
    <w:rsid w:val="00FE5789"/>
    <w:rsid w:val="00FF12D5"/>
    <w:rsid w:val="00FF1F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BE507"/>
  <w15:docId w15:val="{53A631A8-BBFB-4329-B649-D25CD0852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140C5"/>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235C5C"/>
    <w:pPr>
      <w:tabs>
        <w:tab w:val="center" w:pos="4819"/>
        <w:tab w:val="right" w:pos="9638"/>
      </w:tabs>
    </w:pPr>
    <w:rPr>
      <w:rFonts w:asciiTheme="minorHAnsi" w:eastAsiaTheme="minorHAnsi" w:hAnsiTheme="minorHAnsi" w:cstheme="minorBidi"/>
      <w:lang w:eastAsia="en-US"/>
    </w:rPr>
  </w:style>
  <w:style w:type="character" w:customStyle="1" w:styleId="IntestazioneCarattere">
    <w:name w:val="Intestazione Carattere"/>
    <w:basedOn w:val="Carpredefinitoparagrafo"/>
    <w:link w:val="Intestazione"/>
    <w:uiPriority w:val="99"/>
    <w:rsid w:val="00235C5C"/>
  </w:style>
  <w:style w:type="paragraph" w:styleId="Pidipagina">
    <w:name w:val="footer"/>
    <w:basedOn w:val="Normale"/>
    <w:link w:val="PidipaginaCarattere"/>
    <w:uiPriority w:val="99"/>
    <w:unhideWhenUsed/>
    <w:rsid w:val="00235C5C"/>
    <w:pPr>
      <w:tabs>
        <w:tab w:val="center" w:pos="4819"/>
        <w:tab w:val="right" w:pos="9638"/>
      </w:tabs>
    </w:pPr>
    <w:rPr>
      <w:rFonts w:asciiTheme="minorHAnsi" w:eastAsiaTheme="minorHAnsi" w:hAnsiTheme="minorHAnsi" w:cstheme="minorBidi"/>
      <w:lang w:eastAsia="en-US"/>
    </w:rPr>
  </w:style>
  <w:style w:type="character" w:customStyle="1" w:styleId="PidipaginaCarattere">
    <w:name w:val="Piè di pagina Carattere"/>
    <w:basedOn w:val="Carpredefinitoparagrafo"/>
    <w:link w:val="Pidipagina"/>
    <w:uiPriority w:val="99"/>
    <w:rsid w:val="00235C5C"/>
  </w:style>
  <w:style w:type="paragraph" w:styleId="Paragrafoelenco">
    <w:name w:val="List Paragraph"/>
    <w:basedOn w:val="Normale"/>
    <w:uiPriority w:val="34"/>
    <w:qFormat/>
    <w:rsid w:val="00235C5C"/>
    <w:pPr>
      <w:ind w:left="720"/>
      <w:contextualSpacing/>
    </w:pPr>
    <w:rPr>
      <w:rFonts w:asciiTheme="minorHAnsi" w:eastAsiaTheme="minorHAnsi" w:hAnsiTheme="minorHAnsi" w:cstheme="minorBidi"/>
      <w:lang w:eastAsia="en-US"/>
    </w:rPr>
  </w:style>
  <w:style w:type="character" w:styleId="Collegamentoipertestuale">
    <w:name w:val="Hyperlink"/>
    <w:basedOn w:val="Carpredefinitoparagrafo"/>
    <w:uiPriority w:val="99"/>
    <w:unhideWhenUsed/>
    <w:rsid w:val="00E1637B"/>
    <w:rPr>
      <w:color w:val="0563C1" w:themeColor="hyperlink"/>
      <w:u w:val="single"/>
    </w:rPr>
  </w:style>
  <w:style w:type="paragraph" w:customStyle="1" w:styleId="xmsonormal">
    <w:name w:val="x_msonormal"/>
    <w:basedOn w:val="Normale"/>
    <w:rsid w:val="00B30E6A"/>
    <w:pPr>
      <w:spacing w:before="100" w:beforeAutospacing="1" w:after="100" w:afterAutospacing="1"/>
    </w:pPr>
  </w:style>
  <w:style w:type="character" w:customStyle="1" w:styleId="apple-converted-space">
    <w:name w:val="apple-converted-space"/>
    <w:basedOn w:val="Carpredefinitoparagrafo"/>
    <w:rsid w:val="00D25DEF"/>
  </w:style>
  <w:style w:type="character" w:styleId="Enfasigrassetto">
    <w:name w:val="Strong"/>
    <w:basedOn w:val="Carpredefinitoparagrafo"/>
    <w:uiPriority w:val="22"/>
    <w:qFormat/>
    <w:rsid w:val="00D25DEF"/>
    <w:rPr>
      <w:b/>
      <w:bCs/>
    </w:rPr>
  </w:style>
  <w:style w:type="paragraph" w:styleId="NormaleWeb">
    <w:name w:val="Normal (Web)"/>
    <w:basedOn w:val="Normale"/>
    <w:uiPriority w:val="99"/>
    <w:unhideWhenUsed/>
    <w:rsid w:val="00ED5539"/>
    <w:pPr>
      <w:spacing w:before="100" w:beforeAutospacing="1" w:after="100" w:afterAutospacing="1"/>
    </w:pPr>
    <w:rPr>
      <w:rFonts w:ascii="Times" w:eastAsiaTheme="minorHAnsi" w:hAnsi="Times"/>
      <w:sz w:val="20"/>
      <w:szCs w:val="20"/>
    </w:rPr>
  </w:style>
  <w:style w:type="paragraph" w:styleId="Revisione">
    <w:name w:val="Revision"/>
    <w:hidden/>
    <w:uiPriority w:val="99"/>
    <w:semiHidden/>
    <w:rsid w:val="00264D18"/>
  </w:style>
  <w:style w:type="table" w:styleId="Grigliatabella">
    <w:name w:val="Table Grid"/>
    <w:basedOn w:val="Tabellanormale"/>
    <w:uiPriority w:val="39"/>
    <w:rsid w:val="00121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B2571C"/>
    <w:rPr>
      <w:color w:val="605E5C"/>
      <w:shd w:val="clear" w:color="auto" w:fill="E1DFDD"/>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visitato">
    <w:name w:val="FollowedHyperlink"/>
    <w:basedOn w:val="Carpredefinitoparagrafo"/>
    <w:uiPriority w:val="99"/>
    <w:semiHidden/>
    <w:unhideWhenUsed/>
    <w:rsid w:val="00DC3B91"/>
    <w:rPr>
      <w:color w:val="954F72" w:themeColor="followedHyperlink"/>
      <w:u w:val="single"/>
    </w:rPr>
  </w:style>
  <w:style w:type="character" w:styleId="Rimandocommento">
    <w:name w:val="annotation reference"/>
    <w:basedOn w:val="Carpredefinitoparagrafo"/>
    <w:uiPriority w:val="99"/>
    <w:semiHidden/>
    <w:unhideWhenUsed/>
    <w:rsid w:val="00491F41"/>
    <w:rPr>
      <w:sz w:val="16"/>
      <w:szCs w:val="16"/>
    </w:rPr>
  </w:style>
  <w:style w:type="paragraph" w:styleId="Testocommento">
    <w:name w:val="annotation text"/>
    <w:basedOn w:val="Normale"/>
    <w:link w:val="TestocommentoCarattere"/>
    <w:uiPriority w:val="99"/>
    <w:unhideWhenUsed/>
    <w:rsid w:val="00491F41"/>
    <w:rPr>
      <w:sz w:val="20"/>
      <w:szCs w:val="20"/>
    </w:rPr>
  </w:style>
  <w:style w:type="character" w:customStyle="1" w:styleId="TestocommentoCarattere">
    <w:name w:val="Testo commento Carattere"/>
    <w:basedOn w:val="Carpredefinitoparagrafo"/>
    <w:link w:val="Testocommento"/>
    <w:uiPriority w:val="99"/>
    <w:rsid w:val="00491F41"/>
    <w:rPr>
      <w:sz w:val="20"/>
      <w:szCs w:val="20"/>
    </w:rPr>
  </w:style>
  <w:style w:type="paragraph" w:styleId="Soggettocommento">
    <w:name w:val="annotation subject"/>
    <w:basedOn w:val="Testocommento"/>
    <w:next w:val="Testocommento"/>
    <w:link w:val="SoggettocommentoCarattere"/>
    <w:uiPriority w:val="99"/>
    <w:semiHidden/>
    <w:unhideWhenUsed/>
    <w:rsid w:val="00491F41"/>
    <w:rPr>
      <w:b/>
      <w:bCs/>
    </w:rPr>
  </w:style>
  <w:style w:type="character" w:customStyle="1" w:styleId="SoggettocommentoCarattere">
    <w:name w:val="Soggetto commento Carattere"/>
    <w:basedOn w:val="TestocommentoCarattere"/>
    <w:link w:val="Soggettocommento"/>
    <w:uiPriority w:val="99"/>
    <w:semiHidden/>
    <w:rsid w:val="00491F41"/>
    <w:rPr>
      <w:b/>
      <w:bCs/>
      <w:sz w:val="20"/>
      <w:szCs w:val="20"/>
    </w:rPr>
  </w:style>
  <w:style w:type="paragraph" w:styleId="Testofumetto">
    <w:name w:val="Balloon Text"/>
    <w:basedOn w:val="Normale"/>
    <w:link w:val="TestofumettoCarattere"/>
    <w:uiPriority w:val="99"/>
    <w:semiHidden/>
    <w:unhideWhenUsed/>
    <w:rsid w:val="005B42D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B42D2"/>
    <w:rPr>
      <w:rFonts w:ascii="Segoe UI" w:hAnsi="Segoe UI" w:cs="Segoe UI"/>
      <w:sz w:val="18"/>
      <w:szCs w:val="18"/>
    </w:rPr>
  </w:style>
  <w:style w:type="character" w:customStyle="1" w:styleId="il">
    <w:name w:val="il"/>
    <w:basedOn w:val="Carpredefinitoparagrafo"/>
    <w:rsid w:val="008E76CB"/>
  </w:style>
  <w:style w:type="character" w:styleId="Enfasicorsivo">
    <w:name w:val="Emphasis"/>
    <w:basedOn w:val="Carpredefinitoparagrafo"/>
    <w:uiPriority w:val="20"/>
    <w:qFormat/>
    <w:rsid w:val="00A9550F"/>
    <w:rPr>
      <w:i/>
      <w:iCs/>
    </w:rPr>
  </w:style>
  <w:style w:type="character" w:customStyle="1" w:styleId="whitespace-normal">
    <w:name w:val="whitespace-normal"/>
    <w:basedOn w:val="Carpredefinitoparagrafo"/>
    <w:rsid w:val="00F22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9501">
      <w:bodyDiv w:val="1"/>
      <w:marLeft w:val="0"/>
      <w:marRight w:val="0"/>
      <w:marTop w:val="0"/>
      <w:marBottom w:val="0"/>
      <w:divBdr>
        <w:top w:val="none" w:sz="0" w:space="0" w:color="auto"/>
        <w:left w:val="none" w:sz="0" w:space="0" w:color="auto"/>
        <w:bottom w:val="none" w:sz="0" w:space="0" w:color="auto"/>
        <w:right w:val="none" w:sz="0" w:space="0" w:color="auto"/>
      </w:divBdr>
      <w:divsChild>
        <w:div w:id="2096125604">
          <w:marLeft w:val="0"/>
          <w:marRight w:val="0"/>
          <w:marTop w:val="0"/>
          <w:marBottom w:val="0"/>
          <w:divBdr>
            <w:top w:val="none" w:sz="0" w:space="0" w:color="auto"/>
            <w:left w:val="none" w:sz="0" w:space="0" w:color="auto"/>
            <w:bottom w:val="none" w:sz="0" w:space="0" w:color="auto"/>
            <w:right w:val="none" w:sz="0" w:space="0" w:color="auto"/>
          </w:divBdr>
          <w:divsChild>
            <w:div w:id="1042289458">
              <w:marLeft w:val="0"/>
              <w:marRight w:val="0"/>
              <w:marTop w:val="0"/>
              <w:marBottom w:val="0"/>
              <w:divBdr>
                <w:top w:val="none" w:sz="0" w:space="0" w:color="auto"/>
                <w:left w:val="none" w:sz="0" w:space="0" w:color="auto"/>
                <w:bottom w:val="none" w:sz="0" w:space="0" w:color="auto"/>
                <w:right w:val="none" w:sz="0" w:space="0" w:color="auto"/>
              </w:divBdr>
              <w:divsChild>
                <w:div w:id="9745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05226">
      <w:bodyDiv w:val="1"/>
      <w:marLeft w:val="0"/>
      <w:marRight w:val="0"/>
      <w:marTop w:val="0"/>
      <w:marBottom w:val="0"/>
      <w:divBdr>
        <w:top w:val="none" w:sz="0" w:space="0" w:color="auto"/>
        <w:left w:val="none" w:sz="0" w:space="0" w:color="auto"/>
        <w:bottom w:val="none" w:sz="0" w:space="0" w:color="auto"/>
        <w:right w:val="none" w:sz="0" w:space="0" w:color="auto"/>
      </w:divBdr>
    </w:div>
    <w:div w:id="86537031">
      <w:bodyDiv w:val="1"/>
      <w:marLeft w:val="0"/>
      <w:marRight w:val="0"/>
      <w:marTop w:val="0"/>
      <w:marBottom w:val="0"/>
      <w:divBdr>
        <w:top w:val="none" w:sz="0" w:space="0" w:color="auto"/>
        <w:left w:val="none" w:sz="0" w:space="0" w:color="auto"/>
        <w:bottom w:val="none" w:sz="0" w:space="0" w:color="auto"/>
        <w:right w:val="none" w:sz="0" w:space="0" w:color="auto"/>
      </w:divBdr>
      <w:divsChild>
        <w:div w:id="2051833462">
          <w:marLeft w:val="0"/>
          <w:marRight w:val="0"/>
          <w:marTop w:val="0"/>
          <w:marBottom w:val="0"/>
          <w:divBdr>
            <w:top w:val="none" w:sz="0" w:space="0" w:color="auto"/>
            <w:left w:val="none" w:sz="0" w:space="0" w:color="auto"/>
            <w:bottom w:val="none" w:sz="0" w:space="0" w:color="auto"/>
            <w:right w:val="none" w:sz="0" w:space="0" w:color="auto"/>
          </w:divBdr>
        </w:div>
        <w:div w:id="608313980">
          <w:marLeft w:val="0"/>
          <w:marRight w:val="0"/>
          <w:marTop w:val="0"/>
          <w:marBottom w:val="0"/>
          <w:divBdr>
            <w:top w:val="none" w:sz="0" w:space="0" w:color="auto"/>
            <w:left w:val="none" w:sz="0" w:space="0" w:color="auto"/>
            <w:bottom w:val="none" w:sz="0" w:space="0" w:color="auto"/>
            <w:right w:val="none" w:sz="0" w:space="0" w:color="auto"/>
          </w:divBdr>
        </w:div>
        <w:div w:id="272442674">
          <w:marLeft w:val="0"/>
          <w:marRight w:val="0"/>
          <w:marTop w:val="0"/>
          <w:marBottom w:val="0"/>
          <w:divBdr>
            <w:top w:val="none" w:sz="0" w:space="0" w:color="auto"/>
            <w:left w:val="none" w:sz="0" w:space="0" w:color="auto"/>
            <w:bottom w:val="none" w:sz="0" w:space="0" w:color="auto"/>
            <w:right w:val="none" w:sz="0" w:space="0" w:color="auto"/>
          </w:divBdr>
        </w:div>
        <w:div w:id="161164571">
          <w:marLeft w:val="0"/>
          <w:marRight w:val="0"/>
          <w:marTop w:val="0"/>
          <w:marBottom w:val="0"/>
          <w:divBdr>
            <w:top w:val="none" w:sz="0" w:space="0" w:color="auto"/>
            <w:left w:val="none" w:sz="0" w:space="0" w:color="auto"/>
            <w:bottom w:val="none" w:sz="0" w:space="0" w:color="auto"/>
            <w:right w:val="none" w:sz="0" w:space="0" w:color="auto"/>
          </w:divBdr>
        </w:div>
        <w:div w:id="1758820485">
          <w:marLeft w:val="0"/>
          <w:marRight w:val="0"/>
          <w:marTop w:val="0"/>
          <w:marBottom w:val="0"/>
          <w:divBdr>
            <w:top w:val="none" w:sz="0" w:space="0" w:color="auto"/>
            <w:left w:val="none" w:sz="0" w:space="0" w:color="auto"/>
            <w:bottom w:val="none" w:sz="0" w:space="0" w:color="auto"/>
            <w:right w:val="none" w:sz="0" w:space="0" w:color="auto"/>
          </w:divBdr>
        </w:div>
        <w:div w:id="937256020">
          <w:marLeft w:val="0"/>
          <w:marRight w:val="0"/>
          <w:marTop w:val="0"/>
          <w:marBottom w:val="0"/>
          <w:divBdr>
            <w:top w:val="none" w:sz="0" w:space="0" w:color="auto"/>
            <w:left w:val="none" w:sz="0" w:space="0" w:color="auto"/>
            <w:bottom w:val="none" w:sz="0" w:space="0" w:color="auto"/>
            <w:right w:val="none" w:sz="0" w:space="0" w:color="auto"/>
          </w:divBdr>
        </w:div>
        <w:div w:id="300382299">
          <w:marLeft w:val="0"/>
          <w:marRight w:val="0"/>
          <w:marTop w:val="0"/>
          <w:marBottom w:val="0"/>
          <w:divBdr>
            <w:top w:val="none" w:sz="0" w:space="0" w:color="auto"/>
            <w:left w:val="none" w:sz="0" w:space="0" w:color="auto"/>
            <w:bottom w:val="none" w:sz="0" w:space="0" w:color="auto"/>
            <w:right w:val="none" w:sz="0" w:space="0" w:color="auto"/>
          </w:divBdr>
        </w:div>
        <w:div w:id="1906262875">
          <w:marLeft w:val="0"/>
          <w:marRight w:val="0"/>
          <w:marTop w:val="0"/>
          <w:marBottom w:val="0"/>
          <w:divBdr>
            <w:top w:val="none" w:sz="0" w:space="0" w:color="auto"/>
            <w:left w:val="none" w:sz="0" w:space="0" w:color="auto"/>
            <w:bottom w:val="none" w:sz="0" w:space="0" w:color="auto"/>
            <w:right w:val="none" w:sz="0" w:space="0" w:color="auto"/>
          </w:divBdr>
        </w:div>
      </w:divsChild>
    </w:div>
    <w:div w:id="123280265">
      <w:bodyDiv w:val="1"/>
      <w:marLeft w:val="0"/>
      <w:marRight w:val="0"/>
      <w:marTop w:val="0"/>
      <w:marBottom w:val="0"/>
      <w:divBdr>
        <w:top w:val="none" w:sz="0" w:space="0" w:color="auto"/>
        <w:left w:val="none" w:sz="0" w:space="0" w:color="auto"/>
        <w:bottom w:val="none" w:sz="0" w:space="0" w:color="auto"/>
        <w:right w:val="none" w:sz="0" w:space="0" w:color="auto"/>
      </w:divBdr>
    </w:div>
    <w:div w:id="136265809">
      <w:bodyDiv w:val="1"/>
      <w:marLeft w:val="0"/>
      <w:marRight w:val="0"/>
      <w:marTop w:val="0"/>
      <w:marBottom w:val="0"/>
      <w:divBdr>
        <w:top w:val="none" w:sz="0" w:space="0" w:color="auto"/>
        <w:left w:val="none" w:sz="0" w:space="0" w:color="auto"/>
        <w:bottom w:val="none" w:sz="0" w:space="0" w:color="auto"/>
        <w:right w:val="none" w:sz="0" w:space="0" w:color="auto"/>
      </w:divBdr>
      <w:divsChild>
        <w:div w:id="1768112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71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357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2718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20509">
      <w:bodyDiv w:val="1"/>
      <w:marLeft w:val="0"/>
      <w:marRight w:val="0"/>
      <w:marTop w:val="0"/>
      <w:marBottom w:val="0"/>
      <w:divBdr>
        <w:top w:val="none" w:sz="0" w:space="0" w:color="auto"/>
        <w:left w:val="none" w:sz="0" w:space="0" w:color="auto"/>
        <w:bottom w:val="none" w:sz="0" w:space="0" w:color="auto"/>
        <w:right w:val="none" w:sz="0" w:space="0" w:color="auto"/>
      </w:divBdr>
    </w:div>
    <w:div w:id="197738652">
      <w:bodyDiv w:val="1"/>
      <w:marLeft w:val="0"/>
      <w:marRight w:val="0"/>
      <w:marTop w:val="0"/>
      <w:marBottom w:val="0"/>
      <w:divBdr>
        <w:top w:val="none" w:sz="0" w:space="0" w:color="auto"/>
        <w:left w:val="none" w:sz="0" w:space="0" w:color="auto"/>
        <w:bottom w:val="none" w:sz="0" w:space="0" w:color="auto"/>
        <w:right w:val="none" w:sz="0" w:space="0" w:color="auto"/>
      </w:divBdr>
    </w:div>
    <w:div w:id="236090837">
      <w:bodyDiv w:val="1"/>
      <w:marLeft w:val="0"/>
      <w:marRight w:val="0"/>
      <w:marTop w:val="0"/>
      <w:marBottom w:val="0"/>
      <w:divBdr>
        <w:top w:val="none" w:sz="0" w:space="0" w:color="auto"/>
        <w:left w:val="none" w:sz="0" w:space="0" w:color="auto"/>
        <w:bottom w:val="none" w:sz="0" w:space="0" w:color="auto"/>
        <w:right w:val="none" w:sz="0" w:space="0" w:color="auto"/>
      </w:divBdr>
    </w:div>
    <w:div w:id="272060729">
      <w:bodyDiv w:val="1"/>
      <w:marLeft w:val="0"/>
      <w:marRight w:val="0"/>
      <w:marTop w:val="0"/>
      <w:marBottom w:val="0"/>
      <w:divBdr>
        <w:top w:val="none" w:sz="0" w:space="0" w:color="auto"/>
        <w:left w:val="none" w:sz="0" w:space="0" w:color="auto"/>
        <w:bottom w:val="none" w:sz="0" w:space="0" w:color="auto"/>
        <w:right w:val="none" w:sz="0" w:space="0" w:color="auto"/>
      </w:divBdr>
    </w:div>
    <w:div w:id="335966542">
      <w:bodyDiv w:val="1"/>
      <w:marLeft w:val="0"/>
      <w:marRight w:val="0"/>
      <w:marTop w:val="0"/>
      <w:marBottom w:val="0"/>
      <w:divBdr>
        <w:top w:val="none" w:sz="0" w:space="0" w:color="auto"/>
        <w:left w:val="none" w:sz="0" w:space="0" w:color="auto"/>
        <w:bottom w:val="none" w:sz="0" w:space="0" w:color="auto"/>
        <w:right w:val="none" w:sz="0" w:space="0" w:color="auto"/>
      </w:divBdr>
    </w:div>
    <w:div w:id="414009958">
      <w:bodyDiv w:val="1"/>
      <w:marLeft w:val="0"/>
      <w:marRight w:val="0"/>
      <w:marTop w:val="0"/>
      <w:marBottom w:val="0"/>
      <w:divBdr>
        <w:top w:val="none" w:sz="0" w:space="0" w:color="auto"/>
        <w:left w:val="none" w:sz="0" w:space="0" w:color="auto"/>
        <w:bottom w:val="none" w:sz="0" w:space="0" w:color="auto"/>
        <w:right w:val="none" w:sz="0" w:space="0" w:color="auto"/>
      </w:divBdr>
    </w:div>
    <w:div w:id="446048320">
      <w:bodyDiv w:val="1"/>
      <w:marLeft w:val="0"/>
      <w:marRight w:val="0"/>
      <w:marTop w:val="0"/>
      <w:marBottom w:val="0"/>
      <w:divBdr>
        <w:top w:val="none" w:sz="0" w:space="0" w:color="auto"/>
        <w:left w:val="none" w:sz="0" w:space="0" w:color="auto"/>
        <w:bottom w:val="none" w:sz="0" w:space="0" w:color="auto"/>
        <w:right w:val="none" w:sz="0" w:space="0" w:color="auto"/>
      </w:divBdr>
    </w:div>
    <w:div w:id="499737048">
      <w:bodyDiv w:val="1"/>
      <w:marLeft w:val="0"/>
      <w:marRight w:val="0"/>
      <w:marTop w:val="0"/>
      <w:marBottom w:val="0"/>
      <w:divBdr>
        <w:top w:val="none" w:sz="0" w:space="0" w:color="auto"/>
        <w:left w:val="none" w:sz="0" w:space="0" w:color="auto"/>
        <w:bottom w:val="none" w:sz="0" w:space="0" w:color="auto"/>
        <w:right w:val="none" w:sz="0" w:space="0" w:color="auto"/>
      </w:divBdr>
    </w:div>
    <w:div w:id="577593557">
      <w:bodyDiv w:val="1"/>
      <w:marLeft w:val="0"/>
      <w:marRight w:val="0"/>
      <w:marTop w:val="0"/>
      <w:marBottom w:val="0"/>
      <w:divBdr>
        <w:top w:val="none" w:sz="0" w:space="0" w:color="auto"/>
        <w:left w:val="none" w:sz="0" w:space="0" w:color="auto"/>
        <w:bottom w:val="none" w:sz="0" w:space="0" w:color="auto"/>
        <w:right w:val="none" w:sz="0" w:space="0" w:color="auto"/>
      </w:divBdr>
    </w:div>
    <w:div w:id="600915882">
      <w:bodyDiv w:val="1"/>
      <w:marLeft w:val="0"/>
      <w:marRight w:val="0"/>
      <w:marTop w:val="0"/>
      <w:marBottom w:val="0"/>
      <w:divBdr>
        <w:top w:val="none" w:sz="0" w:space="0" w:color="auto"/>
        <w:left w:val="none" w:sz="0" w:space="0" w:color="auto"/>
        <w:bottom w:val="none" w:sz="0" w:space="0" w:color="auto"/>
        <w:right w:val="none" w:sz="0" w:space="0" w:color="auto"/>
      </w:divBdr>
    </w:div>
    <w:div w:id="605772335">
      <w:bodyDiv w:val="1"/>
      <w:marLeft w:val="0"/>
      <w:marRight w:val="0"/>
      <w:marTop w:val="0"/>
      <w:marBottom w:val="0"/>
      <w:divBdr>
        <w:top w:val="none" w:sz="0" w:space="0" w:color="auto"/>
        <w:left w:val="none" w:sz="0" w:space="0" w:color="auto"/>
        <w:bottom w:val="none" w:sz="0" w:space="0" w:color="auto"/>
        <w:right w:val="none" w:sz="0" w:space="0" w:color="auto"/>
      </w:divBdr>
    </w:div>
    <w:div w:id="617487004">
      <w:bodyDiv w:val="1"/>
      <w:marLeft w:val="0"/>
      <w:marRight w:val="0"/>
      <w:marTop w:val="0"/>
      <w:marBottom w:val="0"/>
      <w:divBdr>
        <w:top w:val="none" w:sz="0" w:space="0" w:color="auto"/>
        <w:left w:val="none" w:sz="0" w:space="0" w:color="auto"/>
        <w:bottom w:val="none" w:sz="0" w:space="0" w:color="auto"/>
        <w:right w:val="none" w:sz="0" w:space="0" w:color="auto"/>
      </w:divBdr>
    </w:div>
    <w:div w:id="646862891">
      <w:bodyDiv w:val="1"/>
      <w:marLeft w:val="0"/>
      <w:marRight w:val="0"/>
      <w:marTop w:val="0"/>
      <w:marBottom w:val="0"/>
      <w:divBdr>
        <w:top w:val="none" w:sz="0" w:space="0" w:color="auto"/>
        <w:left w:val="none" w:sz="0" w:space="0" w:color="auto"/>
        <w:bottom w:val="none" w:sz="0" w:space="0" w:color="auto"/>
        <w:right w:val="none" w:sz="0" w:space="0" w:color="auto"/>
      </w:divBdr>
    </w:div>
    <w:div w:id="701714428">
      <w:bodyDiv w:val="1"/>
      <w:marLeft w:val="0"/>
      <w:marRight w:val="0"/>
      <w:marTop w:val="0"/>
      <w:marBottom w:val="0"/>
      <w:divBdr>
        <w:top w:val="none" w:sz="0" w:space="0" w:color="auto"/>
        <w:left w:val="none" w:sz="0" w:space="0" w:color="auto"/>
        <w:bottom w:val="none" w:sz="0" w:space="0" w:color="auto"/>
        <w:right w:val="none" w:sz="0" w:space="0" w:color="auto"/>
      </w:divBdr>
    </w:div>
    <w:div w:id="708457377">
      <w:bodyDiv w:val="1"/>
      <w:marLeft w:val="0"/>
      <w:marRight w:val="0"/>
      <w:marTop w:val="0"/>
      <w:marBottom w:val="0"/>
      <w:divBdr>
        <w:top w:val="none" w:sz="0" w:space="0" w:color="auto"/>
        <w:left w:val="none" w:sz="0" w:space="0" w:color="auto"/>
        <w:bottom w:val="none" w:sz="0" w:space="0" w:color="auto"/>
        <w:right w:val="none" w:sz="0" w:space="0" w:color="auto"/>
      </w:divBdr>
    </w:div>
    <w:div w:id="740785360">
      <w:bodyDiv w:val="1"/>
      <w:marLeft w:val="0"/>
      <w:marRight w:val="0"/>
      <w:marTop w:val="0"/>
      <w:marBottom w:val="0"/>
      <w:divBdr>
        <w:top w:val="none" w:sz="0" w:space="0" w:color="auto"/>
        <w:left w:val="none" w:sz="0" w:space="0" w:color="auto"/>
        <w:bottom w:val="none" w:sz="0" w:space="0" w:color="auto"/>
        <w:right w:val="none" w:sz="0" w:space="0" w:color="auto"/>
      </w:divBdr>
    </w:div>
    <w:div w:id="748112124">
      <w:bodyDiv w:val="1"/>
      <w:marLeft w:val="0"/>
      <w:marRight w:val="0"/>
      <w:marTop w:val="0"/>
      <w:marBottom w:val="0"/>
      <w:divBdr>
        <w:top w:val="none" w:sz="0" w:space="0" w:color="auto"/>
        <w:left w:val="none" w:sz="0" w:space="0" w:color="auto"/>
        <w:bottom w:val="none" w:sz="0" w:space="0" w:color="auto"/>
        <w:right w:val="none" w:sz="0" w:space="0" w:color="auto"/>
      </w:divBdr>
    </w:div>
    <w:div w:id="804810833">
      <w:bodyDiv w:val="1"/>
      <w:marLeft w:val="0"/>
      <w:marRight w:val="0"/>
      <w:marTop w:val="0"/>
      <w:marBottom w:val="0"/>
      <w:divBdr>
        <w:top w:val="none" w:sz="0" w:space="0" w:color="auto"/>
        <w:left w:val="none" w:sz="0" w:space="0" w:color="auto"/>
        <w:bottom w:val="none" w:sz="0" w:space="0" w:color="auto"/>
        <w:right w:val="none" w:sz="0" w:space="0" w:color="auto"/>
      </w:divBdr>
    </w:div>
    <w:div w:id="814764974">
      <w:bodyDiv w:val="1"/>
      <w:marLeft w:val="0"/>
      <w:marRight w:val="0"/>
      <w:marTop w:val="0"/>
      <w:marBottom w:val="0"/>
      <w:divBdr>
        <w:top w:val="none" w:sz="0" w:space="0" w:color="auto"/>
        <w:left w:val="none" w:sz="0" w:space="0" w:color="auto"/>
        <w:bottom w:val="none" w:sz="0" w:space="0" w:color="auto"/>
        <w:right w:val="none" w:sz="0" w:space="0" w:color="auto"/>
      </w:divBdr>
    </w:div>
    <w:div w:id="835995884">
      <w:bodyDiv w:val="1"/>
      <w:marLeft w:val="0"/>
      <w:marRight w:val="0"/>
      <w:marTop w:val="0"/>
      <w:marBottom w:val="0"/>
      <w:divBdr>
        <w:top w:val="none" w:sz="0" w:space="0" w:color="auto"/>
        <w:left w:val="none" w:sz="0" w:space="0" w:color="auto"/>
        <w:bottom w:val="none" w:sz="0" w:space="0" w:color="auto"/>
        <w:right w:val="none" w:sz="0" w:space="0" w:color="auto"/>
      </w:divBdr>
    </w:div>
    <w:div w:id="851142714">
      <w:bodyDiv w:val="1"/>
      <w:marLeft w:val="0"/>
      <w:marRight w:val="0"/>
      <w:marTop w:val="0"/>
      <w:marBottom w:val="0"/>
      <w:divBdr>
        <w:top w:val="none" w:sz="0" w:space="0" w:color="auto"/>
        <w:left w:val="none" w:sz="0" w:space="0" w:color="auto"/>
        <w:bottom w:val="none" w:sz="0" w:space="0" w:color="auto"/>
        <w:right w:val="none" w:sz="0" w:space="0" w:color="auto"/>
      </w:divBdr>
      <w:divsChild>
        <w:div w:id="1124814621">
          <w:marLeft w:val="0"/>
          <w:marRight w:val="0"/>
          <w:marTop w:val="0"/>
          <w:marBottom w:val="0"/>
          <w:divBdr>
            <w:top w:val="none" w:sz="0" w:space="0" w:color="auto"/>
            <w:left w:val="none" w:sz="0" w:space="0" w:color="auto"/>
            <w:bottom w:val="none" w:sz="0" w:space="0" w:color="auto"/>
            <w:right w:val="none" w:sz="0" w:space="0" w:color="auto"/>
          </w:divBdr>
        </w:div>
        <w:div w:id="456222965">
          <w:marLeft w:val="0"/>
          <w:marRight w:val="0"/>
          <w:marTop w:val="0"/>
          <w:marBottom w:val="0"/>
          <w:divBdr>
            <w:top w:val="none" w:sz="0" w:space="0" w:color="auto"/>
            <w:left w:val="none" w:sz="0" w:space="0" w:color="auto"/>
            <w:bottom w:val="none" w:sz="0" w:space="0" w:color="auto"/>
            <w:right w:val="none" w:sz="0" w:space="0" w:color="auto"/>
          </w:divBdr>
        </w:div>
        <w:div w:id="731079531">
          <w:marLeft w:val="0"/>
          <w:marRight w:val="0"/>
          <w:marTop w:val="0"/>
          <w:marBottom w:val="0"/>
          <w:divBdr>
            <w:top w:val="none" w:sz="0" w:space="0" w:color="auto"/>
            <w:left w:val="none" w:sz="0" w:space="0" w:color="auto"/>
            <w:bottom w:val="none" w:sz="0" w:space="0" w:color="auto"/>
            <w:right w:val="none" w:sz="0" w:space="0" w:color="auto"/>
          </w:divBdr>
        </w:div>
      </w:divsChild>
    </w:div>
    <w:div w:id="876622713">
      <w:bodyDiv w:val="1"/>
      <w:marLeft w:val="0"/>
      <w:marRight w:val="0"/>
      <w:marTop w:val="0"/>
      <w:marBottom w:val="0"/>
      <w:divBdr>
        <w:top w:val="none" w:sz="0" w:space="0" w:color="auto"/>
        <w:left w:val="none" w:sz="0" w:space="0" w:color="auto"/>
        <w:bottom w:val="none" w:sz="0" w:space="0" w:color="auto"/>
        <w:right w:val="none" w:sz="0" w:space="0" w:color="auto"/>
      </w:divBdr>
    </w:div>
    <w:div w:id="913508170">
      <w:bodyDiv w:val="1"/>
      <w:marLeft w:val="0"/>
      <w:marRight w:val="0"/>
      <w:marTop w:val="0"/>
      <w:marBottom w:val="0"/>
      <w:divBdr>
        <w:top w:val="none" w:sz="0" w:space="0" w:color="auto"/>
        <w:left w:val="none" w:sz="0" w:space="0" w:color="auto"/>
        <w:bottom w:val="none" w:sz="0" w:space="0" w:color="auto"/>
        <w:right w:val="none" w:sz="0" w:space="0" w:color="auto"/>
      </w:divBdr>
    </w:div>
    <w:div w:id="945965829">
      <w:bodyDiv w:val="1"/>
      <w:marLeft w:val="0"/>
      <w:marRight w:val="0"/>
      <w:marTop w:val="0"/>
      <w:marBottom w:val="0"/>
      <w:divBdr>
        <w:top w:val="none" w:sz="0" w:space="0" w:color="auto"/>
        <w:left w:val="none" w:sz="0" w:space="0" w:color="auto"/>
        <w:bottom w:val="none" w:sz="0" w:space="0" w:color="auto"/>
        <w:right w:val="none" w:sz="0" w:space="0" w:color="auto"/>
      </w:divBdr>
      <w:divsChild>
        <w:div w:id="1490171516">
          <w:marLeft w:val="0"/>
          <w:marRight w:val="0"/>
          <w:marTop w:val="0"/>
          <w:marBottom w:val="0"/>
          <w:divBdr>
            <w:top w:val="none" w:sz="0" w:space="0" w:color="auto"/>
            <w:left w:val="none" w:sz="0" w:space="0" w:color="auto"/>
            <w:bottom w:val="none" w:sz="0" w:space="0" w:color="auto"/>
            <w:right w:val="none" w:sz="0" w:space="0" w:color="auto"/>
          </w:divBdr>
        </w:div>
        <w:div w:id="1464302014">
          <w:marLeft w:val="0"/>
          <w:marRight w:val="0"/>
          <w:marTop w:val="0"/>
          <w:marBottom w:val="0"/>
          <w:divBdr>
            <w:top w:val="none" w:sz="0" w:space="0" w:color="auto"/>
            <w:left w:val="none" w:sz="0" w:space="0" w:color="auto"/>
            <w:bottom w:val="none" w:sz="0" w:space="0" w:color="auto"/>
            <w:right w:val="none" w:sz="0" w:space="0" w:color="auto"/>
          </w:divBdr>
        </w:div>
        <w:div w:id="128935733">
          <w:marLeft w:val="0"/>
          <w:marRight w:val="0"/>
          <w:marTop w:val="0"/>
          <w:marBottom w:val="0"/>
          <w:divBdr>
            <w:top w:val="none" w:sz="0" w:space="0" w:color="auto"/>
            <w:left w:val="none" w:sz="0" w:space="0" w:color="auto"/>
            <w:bottom w:val="none" w:sz="0" w:space="0" w:color="auto"/>
            <w:right w:val="none" w:sz="0" w:space="0" w:color="auto"/>
          </w:divBdr>
        </w:div>
        <w:div w:id="80030628">
          <w:marLeft w:val="0"/>
          <w:marRight w:val="0"/>
          <w:marTop w:val="0"/>
          <w:marBottom w:val="0"/>
          <w:divBdr>
            <w:top w:val="none" w:sz="0" w:space="0" w:color="auto"/>
            <w:left w:val="none" w:sz="0" w:space="0" w:color="auto"/>
            <w:bottom w:val="none" w:sz="0" w:space="0" w:color="auto"/>
            <w:right w:val="none" w:sz="0" w:space="0" w:color="auto"/>
          </w:divBdr>
        </w:div>
      </w:divsChild>
    </w:div>
    <w:div w:id="1009021372">
      <w:bodyDiv w:val="1"/>
      <w:marLeft w:val="0"/>
      <w:marRight w:val="0"/>
      <w:marTop w:val="0"/>
      <w:marBottom w:val="0"/>
      <w:divBdr>
        <w:top w:val="none" w:sz="0" w:space="0" w:color="auto"/>
        <w:left w:val="none" w:sz="0" w:space="0" w:color="auto"/>
        <w:bottom w:val="none" w:sz="0" w:space="0" w:color="auto"/>
        <w:right w:val="none" w:sz="0" w:space="0" w:color="auto"/>
      </w:divBdr>
    </w:div>
    <w:div w:id="1028750091">
      <w:bodyDiv w:val="1"/>
      <w:marLeft w:val="0"/>
      <w:marRight w:val="0"/>
      <w:marTop w:val="0"/>
      <w:marBottom w:val="0"/>
      <w:divBdr>
        <w:top w:val="none" w:sz="0" w:space="0" w:color="auto"/>
        <w:left w:val="none" w:sz="0" w:space="0" w:color="auto"/>
        <w:bottom w:val="none" w:sz="0" w:space="0" w:color="auto"/>
        <w:right w:val="none" w:sz="0" w:space="0" w:color="auto"/>
      </w:divBdr>
    </w:div>
    <w:div w:id="1166824814">
      <w:bodyDiv w:val="1"/>
      <w:marLeft w:val="0"/>
      <w:marRight w:val="0"/>
      <w:marTop w:val="0"/>
      <w:marBottom w:val="0"/>
      <w:divBdr>
        <w:top w:val="none" w:sz="0" w:space="0" w:color="auto"/>
        <w:left w:val="none" w:sz="0" w:space="0" w:color="auto"/>
        <w:bottom w:val="none" w:sz="0" w:space="0" w:color="auto"/>
        <w:right w:val="none" w:sz="0" w:space="0" w:color="auto"/>
      </w:divBdr>
    </w:div>
    <w:div w:id="1180511123">
      <w:bodyDiv w:val="1"/>
      <w:marLeft w:val="0"/>
      <w:marRight w:val="0"/>
      <w:marTop w:val="0"/>
      <w:marBottom w:val="0"/>
      <w:divBdr>
        <w:top w:val="none" w:sz="0" w:space="0" w:color="auto"/>
        <w:left w:val="none" w:sz="0" w:space="0" w:color="auto"/>
        <w:bottom w:val="none" w:sz="0" w:space="0" w:color="auto"/>
        <w:right w:val="none" w:sz="0" w:space="0" w:color="auto"/>
      </w:divBdr>
    </w:div>
    <w:div w:id="1234467345">
      <w:bodyDiv w:val="1"/>
      <w:marLeft w:val="0"/>
      <w:marRight w:val="0"/>
      <w:marTop w:val="0"/>
      <w:marBottom w:val="0"/>
      <w:divBdr>
        <w:top w:val="none" w:sz="0" w:space="0" w:color="auto"/>
        <w:left w:val="none" w:sz="0" w:space="0" w:color="auto"/>
        <w:bottom w:val="none" w:sz="0" w:space="0" w:color="auto"/>
        <w:right w:val="none" w:sz="0" w:space="0" w:color="auto"/>
      </w:divBdr>
    </w:div>
    <w:div w:id="1368064115">
      <w:bodyDiv w:val="1"/>
      <w:marLeft w:val="0"/>
      <w:marRight w:val="0"/>
      <w:marTop w:val="0"/>
      <w:marBottom w:val="0"/>
      <w:divBdr>
        <w:top w:val="none" w:sz="0" w:space="0" w:color="auto"/>
        <w:left w:val="none" w:sz="0" w:space="0" w:color="auto"/>
        <w:bottom w:val="none" w:sz="0" w:space="0" w:color="auto"/>
        <w:right w:val="none" w:sz="0" w:space="0" w:color="auto"/>
      </w:divBdr>
    </w:div>
    <w:div w:id="1371295659">
      <w:bodyDiv w:val="1"/>
      <w:marLeft w:val="0"/>
      <w:marRight w:val="0"/>
      <w:marTop w:val="0"/>
      <w:marBottom w:val="0"/>
      <w:divBdr>
        <w:top w:val="none" w:sz="0" w:space="0" w:color="auto"/>
        <w:left w:val="none" w:sz="0" w:space="0" w:color="auto"/>
        <w:bottom w:val="none" w:sz="0" w:space="0" w:color="auto"/>
        <w:right w:val="none" w:sz="0" w:space="0" w:color="auto"/>
      </w:divBdr>
    </w:div>
    <w:div w:id="1383825001">
      <w:bodyDiv w:val="1"/>
      <w:marLeft w:val="0"/>
      <w:marRight w:val="0"/>
      <w:marTop w:val="0"/>
      <w:marBottom w:val="0"/>
      <w:divBdr>
        <w:top w:val="none" w:sz="0" w:space="0" w:color="auto"/>
        <w:left w:val="none" w:sz="0" w:space="0" w:color="auto"/>
        <w:bottom w:val="none" w:sz="0" w:space="0" w:color="auto"/>
        <w:right w:val="none" w:sz="0" w:space="0" w:color="auto"/>
      </w:divBdr>
    </w:div>
    <w:div w:id="1505707761">
      <w:bodyDiv w:val="1"/>
      <w:marLeft w:val="0"/>
      <w:marRight w:val="0"/>
      <w:marTop w:val="0"/>
      <w:marBottom w:val="0"/>
      <w:divBdr>
        <w:top w:val="none" w:sz="0" w:space="0" w:color="auto"/>
        <w:left w:val="none" w:sz="0" w:space="0" w:color="auto"/>
        <w:bottom w:val="none" w:sz="0" w:space="0" w:color="auto"/>
        <w:right w:val="none" w:sz="0" w:space="0" w:color="auto"/>
      </w:divBdr>
      <w:divsChild>
        <w:div w:id="256182250">
          <w:marLeft w:val="0"/>
          <w:marRight w:val="0"/>
          <w:marTop w:val="0"/>
          <w:marBottom w:val="0"/>
          <w:divBdr>
            <w:top w:val="none" w:sz="0" w:space="0" w:color="auto"/>
            <w:left w:val="none" w:sz="0" w:space="0" w:color="auto"/>
            <w:bottom w:val="none" w:sz="0" w:space="0" w:color="auto"/>
            <w:right w:val="none" w:sz="0" w:space="0" w:color="auto"/>
          </w:divBdr>
        </w:div>
        <w:div w:id="396898026">
          <w:marLeft w:val="0"/>
          <w:marRight w:val="0"/>
          <w:marTop w:val="0"/>
          <w:marBottom w:val="0"/>
          <w:divBdr>
            <w:top w:val="none" w:sz="0" w:space="0" w:color="auto"/>
            <w:left w:val="none" w:sz="0" w:space="0" w:color="auto"/>
            <w:bottom w:val="none" w:sz="0" w:space="0" w:color="auto"/>
            <w:right w:val="none" w:sz="0" w:space="0" w:color="auto"/>
          </w:divBdr>
          <w:divsChild>
            <w:div w:id="609163500">
              <w:marLeft w:val="0"/>
              <w:marRight w:val="0"/>
              <w:marTop w:val="0"/>
              <w:marBottom w:val="0"/>
              <w:divBdr>
                <w:top w:val="none" w:sz="0" w:space="0" w:color="auto"/>
                <w:left w:val="none" w:sz="0" w:space="0" w:color="auto"/>
                <w:bottom w:val="none" w:sz="0" w:space="0" w:color="auto"/>
                <w:right w:val="none" w:sz="0" w:space="0" w:color="auto"/>
              </w:divBdr>
              <w:divsChild>
                <w:div w:id="154344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619205">
      <w:bodyDiv w:val="1"/>
      <w:marLeft w:val="0"/>
      <w:marRight w:val="0"/>
      <w:marTop w:val="0"/>
      <w:marBottom w:val="0"/>
      <w:divBdr>
        <w:top w:val="none" w:sz="0" w:space="0" w:color="auto"/>
        <w:left w:val="none" w:sz="0" w:space="0" w:color="auto"/>
        <w:bottom w:val="none" w:sz="0" w:space="0" w:color="auto"/>
        <w:right w:val="none" w:sz="0" w:space="0" w:color="auto"/>
      </w:divBdr>
    </w:div>
    <w:div w:id="1580212357">
      <w:bodyDiv w:val="1"/>
      <w:marLeft w:val="0"/>
      <w:marRight w:val="0"/>
      <w:marTop w:val="0"/>
      <w:marBottom w:val="0"/>
      <w:divBdr>
        <w:top w:val="none" w:sz="0" w:space="0" w:color="auto"/>
        <w:left w:val="none" w:sz="0" w:space="0" w:color="auto"/>
        <w:bottom w:val="none" w:sz="0" w:space="0" w:color="auto"/>
        <w:right w:val="none" w:sz="0" w:space="0" w:color="auto"/>
      </w:divBdr>
    </w:div>
    <w:div w:id="1598903911">
      <w:bodyDiv w:val="1"/>
      <w:marLeft w:val="0"/>
      <w:marRight w:val="0"/>
      <w:marTop w:val="0"/>
      <w:marBottom w:val="0"/>
      <w:divBdr>
        <w:top w:val="none" w:sz="0" w:space="0" w:color="auto"/>
        <w:left w:val="none" w:sz="0" w:space="0" w:color="auto"/>
        <w:bottom w:val="none" w:sz="0" w:space="0" w:color="auto"/>
        <w:right w:val="none" w:sz="0" w:space="0" w:color="auto"/>
      </w:divBdr>
    </w:div>
    <w:div w:id="1732970213">
      <w:bodyDiv w:val="1"/>
      <w:marLeft w:val="0"/>
      <w:marRight w:val="0"/>
      <w:marTop w:val="0"/>
      <w:marBottom w:val="0"/>
      <w:divBdr>
        <w:top w:val="none" w:sz="0" w:space="0" w:color="auto"/>
        <w:left w:val="none" w:sz="0" w:space="0" w:color="auto"/>
        <w:bottom w:val="none" w:sz="0" w:space="0" w:color="auto"/>
        <w:right w:val="none" w:sz="0" w:space="0" w:color="auto"/>
      </w:divBdr>
    </w:div>
    <w:div w:id="1913999846">
      <w:bodyDiv w:val="1"/>
      <w:marLeft w:val="0"/>
      <w:marRight w:val="0"/>
      <w:marTop w:val="0"/>
      <w:marBottom w:val="0"/>
      <w:divBdr>
        <w:top w:val="none" w:sz="0" w:space="0" w:color="auto"/>
        <w:left w:val="none" w:sz="0" w:space="0" w:color="auto"/>
        <w:bottom w:val="none" w:sz="0" w:space="0" w:color="auto"/>
        <w:right w:val="none" w:sz="0" w:space="0" w:color="auto"/>
      </w:divBdr>
    </w:div>
    <w:div w:id="2018727875">
      <w:bodyDiv w:val="1"/>
      <w:marLeft w:val="0"/>
      <w:marRight w:val="0"/>
      <w:marTop w:val="0"/>
      <w:marBottom w:val="0"/>
      <w:divBdr>
        <w:top w:val="none" w:sz="0" w:space="0" w:color="auto"/>
        <w:left w:val="none" w:sz="0" w:space="0" w:color="auto"/>
        <w:bottom w:val="none" w:sz="0" w:space="0" w:color="auto"/>
        <w:right w:val="none" w:sz="0" w:space="0" w:color="auto"/>
      </w:divBdr>
      <w:divsChild>
        <w:div w:id="737825422">
          <w:marLeft w:val="0"/>
          <w:marRight w:val="0"/>
          <w:marTop w:val="0"/>
          <w:marBottom w:val="0"/>
          <w:divBdr>
            <w:top w:val="none" w:sz="0" w:space="0" w:color="auto"/>
            <w:left w:val="none" w:sz="0" w:space="0" w:color="auto"/>
            <w:bottom w:val="none" w:sz="0" w:space="0" w:color="auto"/>
            <w:right w:val="none" w:sz="0" w:space="0" w:color="auto"/>
          </w:divBdr>
          <w:divsChild>
            <w:div w:id="304550874">
              <w:marLeft w:val="0"/>
              <w:marRight w:val="0"/>
              <w:marTop w:val="0"/>
              <w:marBottom w:val="450"/>
              <w:divBdr>
                <w:top w:val="none" w:sz="0" w:space="0" w:color="auto"/>
                <w:left w:val="none" w:sz="0" w:space="0" w:color="auto"/>
                <w:bottom w:val="none" w:sz="0" w:space="0" w:color="auto"/>
                <w:right w:val="none" w:sz="0" w:space="0" w:color="auto"/>
              </w:divBdr>
              <w:divsChild>
                <w:div w:id="1809199465">
                  <w:marLeft w:val="0"/>
                  <w:marRight w:val="0"/>
                  <w:marTop w:val="0"/>
                  <w:marBottom w:val="0"/>
                  <w:divBdr>
                    <w:top w:val="none" w:sz="0" w:space="0" w:color="auto"/>
                    <w:left w:val="none" w:sz="0" w:space="0" w:color="auto"/>
                    <w:bottom w:val="none" w:sz="0" w:space="0" w:color="auto"/>
                    <w:right w:val="none" w:sz="0" w:space="0" w:color="auto"/>
                  </w:divBdr>
                  <w:divsChild>
                    <w:div w:id="707535403">
                      <w:marLeft w:val="0"/>
                      <w:marRight w:val="0"/>
                      <w:marTop w:val="0"/>
                      <w:marBottom w:val="0"/>
                      <w:divBdr>
                        <w:top w:val="none" w:sz="0" w:space="0" w:color="auto"/>
                        <w:left w:val="none" w:sz="0" w:space="0" w:color="auto"/>
                        <w:bottom w:val="none" w:sz="0" w:space="0" w:color="auto"/>
                        <w:right w:val="none" w:sz="0" w:space="0" w:color="auto"/>
                      </w:divBdr>
                      <w:divsChild>
                        <w:div w:id="68186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474895">
          <w:marLeft w:val="0"/>
          <w:marRight w:val="0"/>
          <w:marTop w:val="0"/>
          <w:marBottom w:val="0"/>
          <w:divBdr>
            <w:top w:val="none" w:sz="0" w:space="0" w:color="auto"/>
            <w:left w:val="none" w:sz="0" w:space="0" w:color="auto"/>
            <w:bottom w:val="none" w:sz="0" w:space="0" w:color="auto"/>
            <w:right w:val="none" w:sz="0" w:space="0" w:color="auto"/>
          </w:divBdr>
          <w:divsChild>
            <w:div w:id="448547256">
              <w:marLeft w:val="0"/>
              <w:marRight w:val="0"/>
              <w:marTop w:val="0"/>
              <w:marBottom w:val="450"/>
              <w:divBdr>
                <w:top w:val="single" w:sz="6" w:space="0" w:color="E3E3E3"/>
                <w:left w:val="single" w:sz="6" w:space="0" w:color="E3E3E3"/>
                <w:bottom w:val="single" w:sz="6" w:space="0" w:color="E3E3E3"/>
                <w:right w:val="single" w:sz="6" w:space="0" w:color="E3E3E3"/>
              </w:divBdr>
              <w:divsChild>
                <w:div w:id="230624407">
                  <w:marLeft w:val="0"/>
                  <w:marRight w:val="0"/>
                  <w:marTop w:val="225"/>
                  <w:marBottom w:val="225"/>
                  <w:divBdr>
                    <w:top w:val="none" w:sz="0" w:space="0" w:color="auto"/>
                    <w:left w:val="none" w:sz="0" w:space="0" w:color="auto"/>
                    <w:bottom w:val="none" w:sz="0" w:space="0" w:color="auto"/>
                    <w:right w:val="none" w:sz="0" w:space="0" w:color="auto"/>
                  </w:divBdr>
                  <w:divsChild>
                    <w:div w:id="1935815867">
                      <w:marLeft w:val="0"/>
                      <w:marRight w:val="0"/>
                      <w:marTop w:val="0"/>
                      <w:marBottom w:val="0"/>
                      <w:divBdr>
                        <w:top w:val="none" w:sz="0" w:space="0" w:color="auto"/>
                        <w:left w:val="none" w:sz="0" w:space="0" w:color="auto"/>
                        <w:bottom w:val="none" w:sz="0" w:space="0" w:color="auto"/>
                        <w:right w:val="none" w:sz="0" w:space="0" w:color="auto"/>
                      </w:divBdr>
                      <w:divsChild>
                        <w:div w:id="61749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112540">
      <w:bodyDiv w:val="1"/>
      <w:marLeft w:val="0"/>
      <w:marRight w:val="0"/>
      <w:marTop w:val="0"/>
      <w:marBottom w:val="0"/>
      <w:divBdr>
        <w:top w:val="none" w:sz="0" w:space="0" w:color="auto"/>
        <w:left w:val="none" w:sz="0" w:space="0" w:color="auto"/>
        <w:bottom w:val="none" w:sz="0" w:space="0" w:color="auto"/>
        <w:right w:val="none" w:sz="0" w:space="0" w:color="auto"/>
      </w:divBdr>
    </w:div>
    <w:div w:id="2074236149">
      <w:bodyDiv w:val="1"/>
      <w:marLeft w:val="0"/>
      <w:marRight w:val="0"/>
      <w:marTop w:val="0"/>
      <w:marBottom w:val="0"/>
      <w:divBdr>
        <w:top w:val="none" w:sz="0" w:space="0" w:color="auto"/>
        <w:left w:val="none" w:sz="0" w:space="0" w:color="auto"/>
        <w:bottom w:val="none" w:sz="0" w:space="0" w:color="auto"/>
        <w:right w:val="none" w:sz="0" w:space="0" w:color="auto"/>
      </w:divBdr>
      <w:divsChild>
        <w:div w:id="1241597068">
          <w:marLeft w:val="0"/>
          <w:marRight w:val="0"/>
          <w:marTop w:val="0"/>
          <w:marBottom w:val="0"/>
          <w:divBdr>
            <w:top w:val="none" w:sz="0" w:space="0" w:color="auto"/>
            <w:left w:val="none" w:sz="0" w:space="0" w:color="auto"/>
            <w:bottom w:val="none" w:sz="0" w:space="0" w:color="auto"/>
            <w:right w:val="none" w:sz="0" w:space="0" w:color="auto"/>
          </w:divBdr>
          <w:divsChild>
            <w:div w:id="226036942">
              <w:marLeft w:val="0"/>
              <w:marRight w:val="0"/>
              <w:marTop w:val="0"/>
              <w:marBottom w:val="450"/>
              <w:divBdr>
                <w:top w:val="none" w:sz="0" w:space="0" w:color="auto"/>
                <w:left w:val="none" w:sz="0" w:space="0" w:color="auto"/>
                <w:bottom w:val="none" w:sz="0" w:space="0" w:color="auto"/>
                <w:right w:val="none" w:sz="0" w:space="0" w:color="auto"/>
              </w:divBdr>
              <w:divsChild>
                <w:div w:id="1006519181">
                  <w:marLeft w:val="0"/>
                  <w:marRight w:val="0"/>
                  <w:marTop w:val="0"/>
                  <w:marBottom w:val="0"/>
                  <w:divBdr>
                    <w:top w:val="none" w:sz="0" w:space="0" w:color="auto"/>
                    <w:left w:val="none" w:sz="0" w:space="0" w:color="auto"/>
                    <w:bottom w:val="none" w:sz="0" w:space="0" w:color="auto"/>
                    <w:right w:val="none" w:sz="0" w:space="0" w:color="auto"/>
                  </w:divBdr>
                  <w:divsChild>
                    <w:div w:id="1523856272">
                      <w:marLeft w:val="0"/>
                      <w:marRight w:val="0"/>
                      <w:marTop w:val="0"/>
                      <w:marBottom w:val="0"/>
                      <w:divBdr>
                        <w:top w:val="none" w:sz="0" w:space="0" w:color="auto"/>
                        <w:left w:val="none" w:sz="0" w:space="0" w:color="auto"/>
                        <w:bottom w:val="none" w:sz="0" w:space="0" w:color="auto"/>
                        <w:right w:val="none" w:sz="0" w:space="0" w:color="auto"/>
                      </w:divBdr>
                      <w:divsChild>
                        <w:div w:id="31453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211624">
          <w:marLeft w:val="0"/>
          <w:marRight w:val="0"/>
          <w:marTop w:val="0"/>
          <w:marBottom w:val="0"/>
          <w:divBdr>
            <w:top w:val="none" w:sz="0" w:space="0" w:color="auto"/>
            <w:left w:val="none" w:sz="0" w:space="0" w:color="auto"/>
            <w:bottom w:val="none" w:sz="0" w:space="0" w:color="auto"/>
            <w:right w:val="none" w:sz="0" w:space="0" w:color="auto"/>
          </w:divBdr>
          <w:divsChild>
            <w:div w:id="652880693">
              <w:marLeft w:val="0"/>
              <w:marRight w:val="0"/>
              <w:marTop w:val="0"/>
              <w:marBottom w:val="450"/>
              <w:divBdr>
                <w:top w:val="single" w:sz="6" w:space="0" w:color="E3E3E3"/>
                <w:left w:val="single" w:sz="6" w:space="0" w:color="E3E3E3"/>
                <w:bottom w:val="single" w:sz="6" w:space="0" w:color="E3E3E3"/>
                <w:right w:val="single" w:sz="6" w:space="0" w:color="E3E3E3"/>
              </w:divBdr>
              <w:divsChild>
                <w:div w:id="756827419">
                  <w:marLeft w:val="0"/>
                  <w:marRight w:val="0"/>
                  <w:marTop w:val="225"/>
                  <w:marBottom w:val="225"/>
                  <w:divBdr>
                    <w:top w:val="none" w:sz="0" w:space="0" w:color="auto"/>
                    <w:left w:val="none" w:sz="0" w:space="0" w:color="auto"/>
                    <w:bottom w:val="none" w:sz="0" w:space="0" w:color="auto"/>
                    <w:right w:val="none" w:sz="0" w:space="0" w:color="auto"/>
                  </w:divBdr>
                  <w:divsChild>
                    <w:div w:id="1308363598">
                      <w:marLeft w:val="0"/>
                      <w:marRight w:val="0"/>
                      <w:marTop w:val="0"/>
                      <w:marBottom w:val="0"/>
                      <w:divBdr>
                        <w:top w:val="none" w:sz="0" w:space="0" w:color="auto"/>
                        <w:left w:val="none" w:sz="0" w:space="0" w:color="auto"/>
                        <w:bottom w:val="none" w:sz="0" w:space="0" w:color="auto"/>
                        <w:right w:val="none" w:sz="0" w:space="0" w:color="auto"/>
                      </w:divBdr>
                      <w:divsChild>
                        <w:div w:id="146512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311283">
      <w:bodyDiv w:val="1"/>
      <w:marLeft w:val="0"/>
      <w:marRight w:val="0"/>
      <w:marTop w:val="0"/>
      <w:marBottom w:val="0"/>
      <w:divBdr>
        <w:top w:val="none" w:sz="0" w:space="0" w:color="auto"/>
        <w:left w:val="none" w:sz="0" w:space="0" w:color="auto"/>
        <w:bottom w:val="none" w:sz="0" w:space="0" w:color="auto"/>
        <w:right w:val="none" w:sz="0" w:space="0" w:color="auto"/>
      </w:divBdr>
      <w:divsChild>
        <w:div w:id="1637563563">
          <w:marLeft w:val="0"/>
          <w:marRight w:val="0"/>
          <w:marTop w:val="0"/>
          <w:marBottom w:val="0"/>
          <w:divBdr>
            <w:top w:val="none" w:sz="0" w:space="0" w:color="auto"/>
            <w:left w:val="none" w:sz="0" w:space="0" w:color="auto"/>
            <w:bottom w:val="none" w:sz="0" w:space="0" w:color="auto"/>
            <w:right w:val="none" w:sz="0" w:space="0" w:color="auto"/>
          </w:divBdr>
          <w:divsChild>
            <w:div w:id="946156316">
              <w:marLeft w:val="0"/>
              <w:marRight w:val="0"/>
              <w:marTop w:val="0"/>
              <w:marBottom w:val="0"/>
              <w:divBdr>
                <w:top w:val="none" w:sz="0" w:space="0" w:color="auto"/>
                <w:left w:val="none" w:sz="0" w:space="0" w:color="auto"/>
                <w:bottom w:val="none" w:sz="0" w:space="0" w:color="auto"/>
                <w:right w:val="none" w:sz="0" w:space="0" w:color="auto"/>
              </w:divBdr>
              <w:divsChild>
                <w:div w:id="8417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4165">
      <w:bodyDiv w:val="1"/>
      <w:marLeft w:val="0"/>
      <w:marRight w:val="0"/>
      <w:marTop w:val="0"/>
      <w:marBottom w:val="0"/>
      <w:divBdr>
        <w:top w:val="none" w:sz="0" w:space="0" w:color="auto"/>
        <w:left w:val="none" w:sz="0" w:space="0" w:color="auto"/>
        <w:bottom w:val="none" w:sz="0" w:space="0" w:color="auto"/>
        <w:right w:val="none" w:sz="0" w:space="0" w:color="auto"/>
      </w:divBdr>
      <w:divsChild>
        <w:div w:id="605773604">
          <w:marLeft w:val="0"/>
          <w:marRight w:val="0"/>
          <w:marTop w:val="0"/>
          <w:marBottom w:val="0"/>
          <w:divBdr>
            <w:top w:val="none" w:sz="0" w:space="0" w:color="auto"/>
            <w:left w:val="none" w:sz="0" w:space="0" w:color="auto"/>
            <w:bottom w:val="none" w:sz="0" w:space="0" w:color="auto"/>
            <w:right w:val="none" w:sz="0" w:space="0" w:color="auto"/>
          </w:divBdr>
          <w:divsChild>
            <w:div w:id="685057341">
              <w:marLeft w:val="0"/>
              <w:marRight w:val="0"/>
              <w:marTop w:val="0"/>
              <w:marBottom w:val="0"/>
              <w:divBdr>
                <w:top w:val="none" w:sz="0" w:space="0" w:color="auto"/>
                <w:left w:val="none" w:sz="0" w:space="0" w:color="auto"/>
                <w:bottom w:val="none" w:sz="0" w:space="0" w:color="auto"/>
                <w:right w:val="none" w:sz="0" w:space="0" w:color="auto"/>
              </w:divBdr>
              <w:divsChild>
                <w:div w:id="190467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55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i2DJUVgx51OyztsRNo+zaKhVNjw==">AMUW2mVXftGpHCb775zpDPuBEQFvPZ86qERqjT8zdIC7me+8wFfjd+tVMSQTtm1aCGZ65mgN0Gz10Q5ycXYWgOlzhT9FX/4uh1KGhoSpCoV1+IW62sGWAPI=</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CDA66E2C98F8EC4EBD3EF672627807B4" ma:contentTypeVersion="13" ma:contentTypeDescription="Create a new document." ma:contentTypeScope="" ma:versionID="96a67a4230d71313b44225a2993a857e">
  <xsd:schema xmlns:xsd="http://www.w3.org/2001/XMLSchema" xmlns:xs="http://www.w3.org/2001/XMLSchema" xmlns:p="http://schemas.microsoft.com/office/2006/metadata/properties" xmlns:ns3="9eb583d8-5dba-443b-bbcf-0a96e144d5d2" xmlns:ns4="c5394202-9881-434c-8117-97c1d114fe55" targetNamespace="http://schemas.microsoft.com/office/2006/metadata/properties" ma:root="true" ma:fieldsID="1d22e0e34f9d9a22abdf80a4a633c6db" ns3:_="" ns4:_="">
    <xsd:import namespace="9eb583d8-5dba-443b-bbcf-0a96e144d5d2"/>
    <xsd:import namespace="c5394202-9881-434c-8117-97c1d114fe5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583d8-5dba-443b-bbcf-0a96e144d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5394202-9881-434c-8117-97c1d114fe5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A5078-CA9C-471A-8886-C6F6B7F412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8CF8632-C5D6-4C28-A30D-37D5A591B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583d8-5dba-443b-bbcf-0a96e144d5d2"/>
    <ds:schemaRef ds:uri="c5394202-9881-434c-8117-97c1d114fe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507F48-A5E6-4ABE-ADBF-E845A2A877DA}">
  <ds:schemaRefs>
    <ds:schemaRef ds:uri="http://schemas.microsoft.com/sharepoint/v3/contenttype/forms"/>
  </ds:schemaRefs>
</ds:datastoreItem>
</file>

<file path=customXml/itemProps5.xml><?xml version="1.0" encoding="utf-8"?>
<ds:datastoreItem xmlns:ds="http://schemas.openxmlformats.org/officeDocument/2006/customXml" ds:itemID="{A789FD0A-0C46-4AEB-8EF4-5A69B7DF2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1198</Words>
  <Characters>6834</Characters>
  <Application>Microsoft Office Word</Application>
  <DocSecurity>0</DocSecurity>
  <Lines>56</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Federica Crippa</dc:creator>
  <cp:lastModifiedBy>Martina Cerea</cp:lastModifiedBy>
  <cp:revision>5</cp:revision>
  <cp:lastPrinted>2025-02-27T11:12:00Z</cp:lastPrinted>
  <dcterms:created xsi:type="dcterms:W3CDTF">2026-04-20T11:06:00Z</dcterms:created>
  <dcterms:modified xsi:type="dcterms:W3CDTF">2026-04-20T11:20:00Z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0x010100CDA66E2C98F8EC4EBD3EF672627807B4</vt:lpwstr>
  </property>
</Properties>
</file>