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0543A4" w14:textId="56F4C0A4" w:rsidR="00F84A59" w:rsidRPr="00F84A59" w:rsidRDefault="00F84A59" w:rsidP="00F84A59">
      <w:pPr>
        <w:jc w:val="center"/>
        <w:rPr>
          <w:rFonts w:ascii="Rubik" w:hAnsi="Rubik" w:cs="Rubik"/>
          <w:sz w:val="22"/>
          <w:szCs w:val="22"/>
          <w:u w:val="single"/>
        </w:rPr>
      </w:pPr>
      <w:r w:rsidRPr="00F84A59">
        <w:rPr>
          <w:rFonts w:ascii="Rubik" w:hAnsi="Rubik" w:cs="Rubik"/>
          <w:sz w:val="22"/>
          <w:szCs w:val="22"/>
          <w:u w:val="single"/>
        </w:rPr>
        <w:t>COMUNICATO STAMPA</w:t>
      </w:r>
    </w:p>
    <w:p w14:paraId="3F88DFA1" w14:textId="77777777" w:rsidR="00F84A59" w:rsidRPr="00F84A59" w:rsidRDefault="00F84A59" w:rsidP="00F84A59">
      <w:pPr>
        <w:jc w:val="center"/>
        <w:rPr>
          <w:rFonts w:ascii="Rubik" w:hAnsi="Rubik" w:cs="Rubik"/>
        </w:rPr>
      </w:pPr>
    </w:p>
    <w:p w14:paraId="3A84B086" w14:textId="56D290AE" w:rsidR="00F84A59" w:rsidRPr="00F84A59" w:rsidRDefault="00F84A59" w:rsidP="00F84A59">
      <w:pPr>
        <w:jc w:val="center"/>
        <w:rPr>
          <w:rFonts w:ascii="Rubik" w:hAnsi="Rubik" w:cs="Rubik" w:hint="cs"/>
          <w:b/>
          <w:bCs/>
        </w:rPr>
      </w:pPr>
      <w:r w:rsidRPr="00F84A59">
        <w:rPr>
          <w:rFonts w:ascii="Rubik" w:hAnsi="Rubik" w:cs="Rubik" w:hint="cs"/>
          <w:b/>
          <w:bCs/>
        </w:rPr>
        <w:t>COMMISSIONE ECOMAFIE. BERGAMO, PRESENTATA SECONDA RELAZIONE ANNUALE. PRESIDENTE MORRONE: RIGORE E ATTENZIONE AI TERRITORI PRIORITÀ NAZIONALE</w:t>
      </w:r>
    </w:p>
    <w:p w14:paraId="0F74D4A2" w14:textId="77777777" w:rsidR="00F84A59" w:rsidRPr="00F84A59" w:rsidRDefault="00F84A59" w:rsidP="00F84A59">
      <w:pPr>
        <w:jc w:val="both"/>
        <w:rPr>
          <w:rFonts w:ascii="Rubik" w:hAnsi="Rubik" w:cs="Rubik" w:hint="cs"/>
        </w:rPr>
      </w:pPr>
    </w:p>
    <w:p w14:paraId="100DF710" w14:textId="755F684F" w:rsidR="00F84A59" w:rsidRPr="006A3F8E" w:rsidRDefault="00F84A59" w:rsidP="00F84A59">
      <w:pPr>
        <w:pStyle w:val="NormaleWeb"/>
        <w:spacing w:before="0" w:beforeAutospacing="0" w:after="0" w:afterAutospacing="0"/>
        <w:jc w:val="both"/>
        <w:rPr>
          <w:rFonts w:ascii="Rubik" w:hAnsi="Rubik" w:cs="Rubik"/>
          <w:sz w:val="21"/>
          <w:szCs w:val="21"/>
        </w:rPr>
      </w:pPr>
      <w:r w:rsidRPr="006A3F8E">
        <w:rPr>
          <w:rFonts w:ascii="Rubik" w:hAnsi="Rubik" w:cs="Rubik" w:hint="cs"/>
          <w:i/>
          <w:iCs/>
          <w:sz w:val="21"/>
          <w:szCs w:val="21"/>
        </w:rPr>
        <w:t>Bergamo, 21 apr</w:t>
      </w:r>
      <w:r w:rsidRPr="006A3F8E">
        <w:rPr>
          <w:rFonts w:ascii="Rubik" w:hAnsi="Rubik" w:cs="Rubik"/>
          <w:i/>
          <w:iCs/>
          <w:sz w:val="21"/>
          <w:szCs w:val="21"/>
        </w:rPr>
        <w:t>ile 2026</w:t>
      </w:r>
      <w:r w:rsidRPr="006A3F8E">
        <w:rPr>
          <w:rFonts w:ascii="Rubik" w:hAnsi="Rubik" w:cs="Rubik"/>
          <w:sz w:val="21"/>
          <w:szCs w:val="21"/>
        </w:rPr>
        <w:t xml:space="preserve"> –</w:t>
      </w:r>
      <w:r w:rsidRPr="006A3F8E">
        <w:rPr>
          <w:rFonts w:ascii="Rubik" w:hAnsi="Rubik" w:cs="Rubik" w:hint="cs"/>
          <w:sz w:val="21"/>
          <w:szCs w:val="21"/>
        </w:rPr>
        <w:t xml:space="preserve"> È stata presentata questa mattina a Bergamo, nella sede dell’Accademia della Guardia di Finanza, la seconda </w:t>
      </w:r>
      <w:r w:rsidRPr="006A3F8E">
        <w:rPr>
          <w:rFonts w:ascii="Rubik" w:hAnsi="Rubik" w:cs="Rubik" w:hint="cs"/>
          <w:b/>
          <w:bCs/>
          <w:sz w:val="21"/>
          <w:szCs w:val="21"/>
        </w:rPr>
        <w:t>Relazione annuale</w:t>
      </w:r>
      <w:r w:rsidRPr="006A3F8E">
        <w:rPr>
          <w:rFonts w:ascii="Rubik" w:hAnsi="Rubik" w:cs="Rubik" w:hint="cs"/>
          <w:sz w:val="21"/>
          <w:szCs w:val="21"/>
        </w:rPr>
        <w:t xml:space="preserve"> sull’attività svolta dalla </w:t>
      </w:r>
      <w:r w:rsidRPr="006A3F8E">
        <w:rPr>
          <w:rFonts w:ascii="Rubik" w:hAnsi="Rubik" w:cs="Rubik" w:hint="cs"/>
          <w:b/>
          <w:bCs/>
          <w:sz w:val="21"/>
          <w:szCs w:val="21"/>
        </w:rPr>
        <w:t>Commissione parlamentare di inchiesta sulle attività illecite connesse al ciclo dei rifiuti e su altri illeciti ambientali e agroalimentari</w:t>
      </w:r>
      <w:r w:rsidRPr="006A3F8E">
        <w:rPr>
          <w:rFonts w:ascii="Rubik" w:hAnsi="Rubik" w:cs="Rubik" w:hint="cs"/>
          <w:sz w:val="21"/>
          <w:szCs w:val="21"/>
        </w:rPr>
        <w:t xml:space="preserve">, presieduta dal deputato </w:t>
      </w:r>
      <w:r w:rsidRPr="006A3F8E">
        <w:rPr>
          <w:rFonts w:ascii="Rubik" w:hAnsi="Rubik" w:cs="Rubik" w:hint="cs"/>
          <w:b/>
          <w:bCs/>
          <w:sz w:val="21"/>
          <w:szCs w:val="21"/>
        </w:rPr>
        <w:t>Jacopo Morrone</w:t>
      </w:r>
      <w:r w:rsidRPr="006A3F8E">
        <w:rPr>
          <w:rFonts w:ascii="Rubik" w:hAnsi="Rubik" w:cs="Rubik" w:hint="cs"/>
          <w:sz w:val="21"/>
          <w:szCs w:val="21"/>
        </w:rPr>
        <w:t xml:space="preserve">, con riferimento al secondo anno della sua operatività, dal </w:t>
      </w:r>
      <w:r w:rsidRPr="006A3F8E">
        <w:rPr>
          <w:rFonts w:ascii="Rubik" w:hAnsi="Rubik" w:cs="Rubik" w:hint="cs"/>
          <w:b/>
          <w:bCs/>
          <w:sz w:val="21"/>
          <w:szCs w:val="21"/>
        </w:rPr>
        <w:t>1° dicembre 2024 al 31 dicembre 2025</w:t>
      </w:r>
      <w:r w:rsidRPr="006A3F8E">
        <w:rPr>
          <w:rFonts w:ascii="Rubik" w:hAnsi="Rubik" w:cs="Rubik" w:hint="cs"/>
          <w:sz w:val="21"/>
          <w:szCs w:val="21"/>
        </w:rPr>
        <w:t xml:space="preserve">. La scelta di presentare la relazione nella città Orobica è collegata al Protocollo sottoscritto il 14 maggio 2025 con la locale Università, </w:t>
      </w:r>
      <w:r w:rsidRPr="006A3F8E">
        <w:rPr>
          <w:rFonts w:ascii="Rubik" w:hAnsi="Rubik" w:cs="Rubik" w:hint="cs"/>
          <w:i/>
          <w:iCs/>
          <w:sz w:val="21"/>
          <w:szCs w:val="21"/>
        </w:rPr>
        <w:t>“</w:t>
      </w:r>
      <w:r w:rsidRPr="006A3F8E">
        <w:rPr>
          <w:rFonts w:ascii="Rubik" w:eastAsia="Rubik" w:hAnsi="Rubik" w:cs="Rubik" w:hint="cs"/>
          <w:i/>
          <w:iCs/>
          <w:sz w:val="21"/>
          <w:szCs w:val="21"/>
        </w:rPr>
        <w:t xml:space="preserve">riferimento imprescindibile in tema di ecoreati e reati agroalimentari, </w:t>
      </w:r>
      <w:r w:rsidRPr="006A3F8E">
        <w:rPr>
          <w:rFonts w:ascii="Rubik" w:hAnsi="Rubik" w:cs="Rubik" w:hint="cs"/>
          <w:i/>
          <w:iCs/>
          <w:sz w:val="21"/>
          <w:szCs w:val="21"/>
        </w:rPr>
        <w:t>per l’elevato livello delle professionalità messe in campo e per le ricerche effettuate”</w:t>
      </w:r>
      <w:r w:rsidRPr="006A3F8E">
        <w:rPr>
          <w:rFonts w:ascii="Rubik" w:hAnsi="Rubik" w:cs="Rubik" w:hint="cs"/>
          <w:sz w:val="21"/>
          <w:szCs w:val="21"/>
        </w:rPr>
        <w:t xml:space="preserve">. </w:t>
      </w:r>
    </w:p>
    <w:p w14:paraId="69CF8BAE" w14:textId="77777777" w:rsidR="00F84A59" w:rsidRPr="006A3F8E" w:rsidRDefault="00F84A59" w:rsidP="00F84A59">
      <w:pPr>
        <w:pStyle w:val="NormaleWeb"/>
        <w:spacing w:before="0" w:beforeAutospacing="0" w:after="0" w:afterAutospacing="0"/>
        <w:jc w:val="both"/>
        <w:rPr>
          <w:rFonts w:ascii="Rubik" w:hAnsi="Rubik" w:cs="Rubik" w:hint="cs"/>
          <w:sz w:val="21"/>
          <w:szCs w:val="21"/>
        </w:rPr>
      </w:pPr>
    </w:p>
    <w:p w14:paraId="02CBDABC" w14:textId="77777777" w:rsidR="00F84A59" w:rsidRPr="006A3F8E" w:rsidRDefault="00F84A59" w:rsidP="00F84A59">
      <w:pPr>
        <w:pStyle w:val="NormaleWeb"/>
        <w:spacing w:before="0" w:beforeAutospacing="0" w:after="0" w:afterAutospacing="0"/>
        <w:jc w:val="both"/>
        <w:rPr>
          <w:rFonts w:ascii="Rubik" w:hAnsi="Rubik" w:cs="Rubik" w:hint="cs"/>
          <w:b/>
          <w:bCs/>
          <w:sz w:val="21"/>
          <w:szCs w:val="21"/>
        </w:rPr>
      </w:pPr>
      <w:r w:rsidRPr="006A3F8E">
        <w:rPr>
          <w:rFonts w:ascii="Rubik" w:hAnsi="Rubik" w:cs="Rubik" w:hint="cs"/>
          <w:b/>
          <w:bCs/>
          <w:sz w:val="21"/>
          <w:szCs w:val="21"/>
        </w:rPr>
        <w:t>LA RELAZIONE</w:t>
      </w:r>
    </w:p>
    <w:p w14:paraId="6193216E" w14:textId="09E44715" w:rsidR="00F84A59" w:rsidRPr="006A3F8E" w:rsidRDefault="00F84A59" w:rsidP="00F84A59">
      <w:pPr>
        <w:jc w:val="both"/>
        <w:rPr>
          <w:rFonts w:ascii="Rubik" w:hAnsi="Rubik" w:cs="Rubik"/>
          <w:i/>
          <w:iCs/>
          <w:sz w:val="21"/>
          <w:szCs w:val="21"/>
        </w:rPr>
      </w:pPr>
      <w:r w:rsidRPr="006A3F8E">
        <w:rPr>
          <w:rFonts w:ascii="Rubik" w:hAnsi="Rubik" w:cs="Rubik" w:hint="cs"/>
          <w:i/>
          <w:iCs/>
          <w:sz w:val="21"/>
          <w:szCs w:val="21"/>
        </w:rPr>
        <w:t>“È impossibile in breve tempo illustrare le competenze della Commissione e i contenuti dei numerosi approfondimenti avviati</w:t>
      </w:r>
      <w:r w:rsidRPr="006A3F8E">
        <w:rPr>
          <w:rFonts w:ascii="Rubik" w:hAnsi="Rubik" w:cs="Rubik" w:hint="cs"/>
          <w:sz w:val="21"/>
          <w:szCs w:val="21"/>
        </w:rPr>
        <w:t xml:space="preserve"> </w:t>
      </w:r>
      <w:r w:rsidRPr="006A3F8E">
        <w:rPr>
          <w:rFonts w:ascii="Rubik" w:hAnsi="Rubik" w:cs="Rubik"/>
          <w:sz w:val="21"/>
          <w:szCs w:val="21"/>
        </w:rPr>
        <w:t>–</w:t>
      </w:r>
      <w:r w:rsidRPr="006A3F8E">
        <w:rPr>
          <w:rFonts w:ascii="Rubik" w:hAnsi="Rubik" w:cs="Rubik" w:hint="cs"/>
          <w:sz w:val="21"/>
          <w:szCs w:val="21"/>
        </w:rPr>
        <w:t xml:space="preserve"> ha esordito il presidente </w:t>
      </w:r>
      <w:r w:rsidRPr="006A3F8E">
        <w:rPr>
          <w:rFonts w:ascii="Rubik" w:hAnsi="Rubik" w:cs="Rubik" w:hint="cs"/>
          <w:b/>
          <w:bCs/>
          <w:sz w:val="21"/>
          <w:szCs w:val="21"/>
        </w:rPr>
        <w:t>Morrone</w:t>
      </w:r>
      <w:r w:rsidRPr="006A3F8E">
        <w:rPr>
          <w:rFonts w:ascii="Rubik" w:hAnsi="Rubik" w:cs="Rubik" w:hint="cs"/>
          <w:sz w:val="21"/>
          <w:szCs w:val="21"/>
        </w:rPr>
        <w:t xml:space="preserve"> - </w:t>
      </w:r>
      <w:r w:rsidRPr="006A3F8E">
        <w:rPr>
          <w:rFonts w:ascii="Rubik" w:hAnsi="Rubik" w:cs="Rubik" w:hint="cs"/>
          <w:i/>
          <w:iCs/>
          <w:sz w:val="21"/>
          <w:szCs w:val="21"/>
        </w:rPr>
        <w:t>mi limito ad alcuni dati che dimostrano l’impegno profuso. Nel corso del 2025, sul piano istruttorio, la Commissione ha svolto 67 audizioni, 28 delle quali nella sede romana di Palazzo San Macuto e 39 nel corso delle 24 missioni effettuate in 14 regioni italiane. Missioni che hanno previsto visite conoscitive, accesso ad aree sotto sequestro, incontri istituzionali presso le sedi delle prefetture e audizioni in loco. Fondamentale, inoltre, è la funzione dell’archivio della Commissione, dove, al 31 dicembre 2025, risultava acquisito un totale di 1546 unità documentali, per un numero complessivo di quasi centomila pagine di materiale istruttorio. Da rilevare, a questo proposito, un progetto sperimentale di utilizzo di strumenti di intelligenza artificiale per migliorare la capacità di analisi di grandi volumi documentali facilitando l’individuazione di connessioni, ricorrenze e relazioni tra dati e documenti provenienti da fonti diverse, nel pieno rispetto delle regole di riservatezza e delle nostre competenze istituzionali”.</w:t>
      </w:r>
    </w:p>
    <w:p w14:paraId="0749A61F" w14:textId="77777777" w:rsidR="00F84A59" w:rsidRPr="006A3F8E" w:rsidRDefault="00F84A59" w:rsidP="00F84A59">
      <w:pPr>
        <w:jc w:val="both"/>
        <w:rPr>
          <w:rFonts w:ascii="Rubik" w:hAnsi="Rubik" w:cs="Rubik" w:hint="cs"/>
          <w:b/>
          <w:bCs/>
          <w:i/>
          <w:iCs/>
          <w:sz w:val="21"/>
          <w:szCs w:val="21"/>
        </w:rPr>
      </w:pPr>
    </w:p>
    <w:p w14:paraId="64766F93" w14:textId="77777777" w:rsidR="00F84A59" w:rsidRPr="006A3F8E" w:rsidRDefault="00F84A59" w:rsidP="00F84A59">
      <w:pPr>
        <w:jc w:val="both"/>
        <w:rPr>
          <w:rFonts w:ascii="Rubik" w:hAnsi="Rubik" w:cs="Rubik" w:hint="cs"/>
          <w:b/>
          <w:bCs/>
          <w:sz w:val="21"/>
          <w:szCs w:val="21"/>
        </w:rPr>
      </w:pPr>
      <w:r w:rsidRPr="006A3F8E">
        <w:rPr>
          <w:rFonts w:ascii="Rubik" w:hAnsi="Rubik" w:cs="Rubik" w:hint="cs"/>
          <w:b/>
          <w:bCs/>
          <w:sz w:val="21"/>
          <w:szCs w:val="21"/>
        </w:rPr>
        <w:t xml:space="preserve">I FILONI DI INDAGINE CONCLUSI </w:t>
      </w:r>
    </w:p>
    <w:p w14:paraId="2EA3397D" w14:textId="77777777" w:rsidR="00F84A59" w:rsidRPr="006A3F8E" w:rsidRDefault="00F84A59" w:rsidP="00F84A59">
      <w:pPr>
        <w:jc w:val="both"/>
        <w:rPr>
          <w:rFonts w:ascii="Rubik" w:hAnsi="Rubik" w:cs="Rubik"/>
          <w:sz w:val="21"/>
          <w:szCs w:val="21"/>
        </w:rPr>
      </w:pPr>
      <w:r w:rsidRPr="006A3F8E">
        <w:rPr>
          <w:rFonts w:ascii="Rubik" w:hAnsi="Rubik" w:cs="Rubik" w:hint="cs"/>
          <w:sz w:val="21"/>
          <w:szCs w:val="21"/>
        </w:rPr>
        <w:t xml:space="preserve">Morrone ha poi citato i </w:t>
      </w:r>
      <w:r w:rsidRPr="006A3F8E">
        <w:rPr>
          <w:rFonts w:ascii="Rubik" w:hAnsi="Rubik" w:cs="Rubik" w:hint="cs"/>
          <w:b/>
          <w:bCs/>
          <w:sz w:val="21"/>
          <w:szCs w:val="21"/>
        </w:rPr>
        <w:t>15 ‘filoni’ di indagine avviati</w:t>
      </w:r>
      <w:r w:rsidRPr="006A3F8E">
        <w:rPr>
          <w:rFonts w:ascii="Rubik" w:hAnsi="Rubik" w:cs="Rubik" w:hint="cs"/>
          <w:sz w:val="21"/>
          <w:szCs w:val="21"/>
        </w:rPr>
        <w:t>, cinque dei quali conclusi con relazioni già approvate (pubblicate sui siti internet della Camera dei Deputati e del Parlamento): “I rifiuti di Roma Capitale e il sito di Malagrotta”; “Il progetto di discarica in località Riceci nel comune di Petriano”; “Le zoomafie e le corse clandestine di cavalli: analisi, contrasto e proposte di intervento per la tutela del benessere animale e della legalità” (rispetto a questo filone è ancora in corso l’attività di approfondimento dei fenomeni criminali del traffico illecito di animali da affezione e dei combattimenti tra cani); “Relazione sullo stato di attuazione degli interventi di bonifica del SIN di Cassano-Crotone-Cerchiara: analisi ambientale, amministrativa e giudiziaria” (anche rispetto a questo filone è in corso l’analisi di altri Siti di interesse nazionale individuati in considerazione della loro ampiezza, delle criticità e caratteristiche dislocati in vari territori del Paese); “Relazione finale sui traffici transnazionali di rifiuti: analisi e proposte di intervento nel contesto della normativa europea”.</w:t>
      </w:r>
    </w:p>
    <w:p w14:paraId="016F29E1" w14:textId="77777777" w:rsidR="00F84A59" w:rsidRPr="006A3F8E" w:rsidRDefault="00F84A59" w:rsidP="00F84A59">
      <w:pPr>
        <w:jc w:val="both"/>
        <w:rPr>
          <w:rFonts w:ascii="Rubik" w:hAnsi="Rubik" w:cs="Rubik" w:hint="cs"/>
          <w:sz w:val="21"/>
          <w:szCs w:val="21"/>
        </w:rPr>
      </w:pPr>
    </w:p>
    <w:p w14:paraId="46E13724" w14:textId="77777777" w:rsidR="00F84A59" w:rsidRPr="006A3F8E" w:rsidRDefault="00F84A59" w:rsidP="00F84A59">
      <w:pPr>
        <w:jc w:val="both"/>
        <w:rPr>
          <w:rFonts w:ascii="Rubik" w:hAnsi="Rubik" w:cs="Rubik" w:hint="cs"/>
          <w:b/>
          <w:bCs/>
          <w:sz w:val="21"/>
          <w:szCs w:val="21"/>
        </w:rPr>
      </w:pPr>
      <w:r w:rsidRPr="006A3F8E">
        <w:rPr>
          <w:rFonts w:ascii="Rubik" w:hAnsi="Rubik" w:cs="Rubik" w:hint="cs"/>
          <w:b/>
          <w:bCs/>
          <w:sz w:val="21"/>
          <w:szCs w:val="21"/>
        </w:rPr>
        <w:t>LE MACRO-AREE DI INDAGINE</w:t>
      </w:r>
    </w:p>
    <w:p w14:paraId="490D4BE6" w14:textId="2BBAFE4A" w:rsidR="00F84A59" w:rsidRPr="006A3F8E" w:rsidRDefault="00F84A59" w:rsidP="00F84A59">
      <w:pPr>
        <w:jc w:val="both"/>
        <w:rPr>
          <w:rFonts w:ascii="Rubik" w:hAnsi="Rubik" w:cs="Rubik"/>
          <w:i/>
          <w:iCs/>
          <w:sz w:val="21"/>
          <w:szCs w:val="21"/>
        </w:rPr>
      </w:pPr>
      <w:r w:rsidRPr="006A3F8E">
        <w:rPr>
          <w:rFonts w:ascii="Rubik" w:hAnsi="Rubik" w:cs="Rubik" w:hint="cs"/>
          <w:i/>
          <w:iCs/>
          <w:sz w:val="21"/>
          <w:szCs w:val="21"/>
        </w:rPr>
        <w:t>“I filoni di indagine di competenza della Commissione</w:t>
      </w:r>
      <w:r w:rsidRPr="006A3F8E">
        <w:rPr>
          <w:rFonts w:ascii="Rubik" w:hAnsi="Rubik" w:cs="Rubik" w:hint="cs"/>
          <w:sz w:val="21"/>
          <w:szCs w:val="21"/>
        </w:rPr>
        <w:t xml:space="preserve"> </w:t>
      </w:r>
      <w:r w:rsidRPr="006A3F8E">
        <w:rPr>
          <w:rFonts w:ascii="Rubik" w:hAnsi="Rubik" w:cs="Rubik"/>
          <w:sz w:val="21"/>
          <w:szCs w:val="21"/>
        </w:rPr>
        <w:t>–</w:t>
      </w:r>
      <w:r w:rsidRPr="006A3F8E">
        <w:rPr>
          <w:rFonts w:ascii="Rubik" w:hAnsi="Rubik" w:cs="Rubik" w:hint="cs"/>
          <w:sz w:val="21"/>
          <w:szCs w:val="21"/>
        </w:rPr>
        <w:t xml:space="preserve"> ha</w:t>
      </w:r>
      <w:r w:rsidRPr="006A3F8E">
        <w:rPr>
          <w:rFonts w:ascii="Rubik" w:hAnsi="Rubik" w:cs="Rubik"/>
          <w:sz w:val="21"/>
          <w:szCs w:val="21"/>
        </w:rPr>
        <w:t xml:space="preserve"> </w:t>
      </w:r>
      <w:r w:rsidRPr="006A3F8E">
        <w:rPr>
          <w:rFonts w:ascii="Rubik" w:hAnsi="Rubik" w:cs="Rubik" w:hint="cs"/>
          <w:sz w:val="21"/>
          <w:szCs w:val="21"/>
        </w:rPr>
        <w:t xml:space="preserve">poi evidenziato il presidente </w:t>
      </w:r>
      <w:r w:rsidRPr="006A3F8E">
        <w:rPr>
          <w:rFonts w:ascii="Rubik" w:hAnsi="Rubik" w:cs="Rubik"/>
          <w:sz w:val="21"/>
          <w:szCs w:val="21"/>
        </w:rPr>
        <w:t>–</w:t>
      </w:r>
      <w:r w:rsidRPr="006A3F8E">
        <w:rPr>
          <w:rFonts w:ascii="Rubik" w:hAnsi="Rubik" w:cs="Rubik" w:hint="cs"/>
          <w:sz w:val="21"/>
          <w:szCs w:val="21"/>
        </w:rPr>
        <w:t xml:space="preserve"> </w:t>
      </w:r>
      <w:r w:rsidRPr="006A3F8E">
        <w:rPr>
          <w:rFonts w:ascii="Rubik" w:hAnsi="Rubik" w:cs="Rubik" w:hint="cs"/>
          <w:i/>
          <w:iCs/>
          <w:sz w:val="21"/>
          <w:szCs w:val="21"/>
        </w:rPr>
        <w:t>possono essere raggruppati in tre macro-aree: la gestione dei rifiuti e i fenomeni illeciti ad essa connessi; i reati nel settore agroalimentare; gli altri illeciti ambientali che comprendono</w:t>
      </w:r>
      <w:r w:rsidRPr="006A3F8E">
        <w:rPr>
          <w:rFonts w:ascii="Rubik" w:hAnsi="Rubik" w:cs="Rubik" w:hint="cs"/>
          <w:i/>
          <w:iCs/>
          <w:color w:val="212121"/>
          <w:sz w:val="21"/>
          <w:szCs w:val="21"/>
          <w:shd w:val="clear" w:color="auto" w:fill="FFFFFF"/>
        </w:rPr>
        <w:t xml:space="preserve"> anche quelli legati al fenomeno delle cosiddette zoomafie</w:t>
      </w:r>
      <w:r w:rsidRPr="006A3F8E">
        <w:rPr>
          <w:rFonts w:ascii="Rubik" w:hAnsi="Rubik" w:cs="Rubik" w:hint="cs"/>
          <w:i/>
          <w:iCs/>
          <w:sz w:val="21"/>
          <w:szCs w:val="21"/>
        </w:rPr>
        <w:t xml:space="preserve"> e alla verifica della corretta applicazione del Titolo IX bis del </w:t>
      </w:r>
      <w:r w:rsidRPr="006A3F8E">
        <w:rPr>
          <w:rFonts w:ascii="Rubik" w:hAnsi="Rubik" w:cs="Rubik"/>
          <w:i/>
          <w:iCs/>
          <w:sz w:val="21"/>
          <w:szCs w:val="21"/>
        </w:rPr>
        <w:t>Codice penale</w:t>
      </w:r>
      <w:r w:rsidRPr="006A3F8E">
        <w:rPr>
          <w:rFonts w:ascii="Rubik" w:hAnsi="Rubik" w:cs="Rubik" w:hint="cs"/>
          <w:i/>
          <w:iCs/>
          <w:sz w:val="21"/>
          <w:szCs w:val="21"/>
        </w:rPr>
        <w:t>, in merito ai delitti contro gli animali”.</w:t>
      </w:r>
    </w:p>
    <w:p w14:paraId="7010FCB2" w14:textId="77777777" w:rsidR="00F84A59" w:rsidRPr="006A3F8E" w:rsidRDefault="00F84A59" w:rsidP="00F84A59">
      <w:pPr>
        <w:jc w:val="both"/>
        <w:rPr>
          <w:rFonts w:ascii="Rubik" w:hAnsi="Rubik" w:cs="Rubik" w:hint="cs"/>
          <w:i/>
          <w:iCs/>
          <w:sz w:val="21"/>
          <w:szCs w:val="21"/>
        </w:rPr>
      </w:pPr>
    </w:p>
    <w:p w14:paraId="61C197B1" w14:textId="3D6CCF4C" w:rsidR="00F84A59" w:rsidRPr="006A3F8E" w:rsidRDefault="00F84A59" w:rsidP="00F84A59">
      <w:pPr>
        <w:jc w:val="both"/>
        <w:rPr>
          <w:rFonts w:ascii="Rubik" w:hAnsi="Rubik" w:cs="Rubik"/>
          <w:sz w:val="21"/>
          <w:szCs w:val="21"/>
        </w:rPr>
      </w:pPr>
      <w:r w:rsidRPr="006A3F8E">
        <w:rPr>
          <w:rFonts w:ascii="Rubik" w:hAnsi="Rubik" w:cs="Rubik" w:hint="cs"/>
          <w:sz w:val="21"/>
          <w:szCs w:val="21"/>
        </w:rPr>
        <w:t>Morrone ha poi citato i filoni di inchiesta già in fase avanzata, per esempio quell</w:t>
      </w:r>
      <w:r w:rsidRPr="006A3F8E">
        <w:rPr>
          <w:rFonts w:ascii="Rubik" w:hAnsi="Rubik" w:cs="Rubik"/>
          <w:sz w:val="21"/>
          <w:szCs w:val="21"/>
        </w:rPr>
        <w:t>o</w:t>
      </w:r>
      <w:r w:rsidRPr="006A3F8E">
        <w:rPr>
          <w:rFonts w:ascii="Rubik" w:hAnsi="Rubik" w:cs="Rubik" w:hint="cs"/>
          <w:sz w:val="21"/>
          <w:szCs w:val="21"/>
        </w:rPr>
        <w:t xml:space="preserve"> sui sistemi di smaltimento dei rifiuti in Sicilia e in Campania, quest’ultimo con una particolare attenzione alla cosiddetta ‘Terra dei Fuochi’, e altri di più recente deliberazione, riguardanti i cosiddetti rifiuti emergenti derivati dalla dismissione degli impianti per la produzione di energia da fonti rinnovabili, come pannelli fotovoltaici, pale eoliche e batterie, e i rifiuti radioattivi, con attenzione alle condizioni di sicurezza dei siti in cui sono temporaneamente depositati e alla stato di attuazione delle operazioni di bonifica.</w:t>
      </w:r>
    </w:p>
    <w:p w14:paraId="6713DE24" w14:textId="77777777" w:rsidR="00F84A59" w:rsidRPr="006A3F8E" w:rsidRDefault="00F84A59" w:rsidP="00F84A59">
      <w:pPr>
        <w:jc w:val="both"/>
        <w:rPr>
          <w:rFonts w:ascii="Rubik" w:hAnsi="Rubik" w:cs="Rubik" w:hint="cs"/>
          <w:sz w:val="21"/>
          <w:szCs w:val="21"/>
        </w:rPr>
      </w:pPr>
    </w:p>
    <w:p w14:paraId="2451CB26" w14:textId="20676CB0" w:rsidR="00F84A59" w:rsidRPr="006A3F8E" w:rsidRDefault="00F84A59" w:rsidP="00F84A59">
      <w:pPr>
        <w:jc w:val="both"/>
        <w:rPr>
          <w:rFonts w:ascii="Rubik" w:hAnsi="Rubik" w:cs="Rubik"/>
          <w:i/>
          <w:iCs/>
          <w:sz w:val="21"/>
          <w:szCs w:val="21"/>
        </w:rPr>
      </w:pPr>
      <w:r w:rsidRPr="006A3F8E">
        <w:rPr>
          <w:rFonts w:ascii="Rubik" w:hAnsi="Rubik" w:cs="Rubik" w:hint="cs"/>
          <w:sz w:val="21"/>
          <w:szCs w:val="21"/>
        </w:rPr>
        <w:t xml:space="preserve">Infine, le conclusioni espresse dal presidente dopo i ringraziamenti agli uffici e ai consulenti della Commissione per il lavoro svolto: </w:t>
      </w:r>
      <w:r w:rsidRPr="006A3F8E">
        <w:rPr>
          <w:rFonts w:ascii="Rubik" w:hAnsi="Rubik" w:cs="Rubik" w:hint="cs"/>
          <w:i/>
          <w:iCs/>
          <w:sz w:val="21"/>
          <w:szCs w:val="21"/>
        </w:rPr>
        <w:t>“</w:t>
      </w:r>
      <w:r w:rsidRPr="006A3F8E">
        <w:rPr>
          <w:rFonts w:ascii="Rubik" w:hAnsi="Rubik" w:cs="Rubik"/>
          <w:i/>
          <w:iCs/>
          <w:sz w:val="21"/>
          <w:szCs w:val="21"/>
        </w:rPr>
        <w:t>Q</w:t>
      </w:r>
      <w:r w:rsidRPr="006A3F8E">
        <w:rPr>
          <w:rFonts w:ascii="Rubik" w:hAnsi="Rubik" w:cs="Rubik" w:hint="cs"/>
          <w:i/>
          <w:iCs/>
          <w:sz w:val="21"/>
          <w:szCs w:val="21"/>
        </w:rPr>
        <w:t xml:space="preserve">uesta relazione rappresenta uno strumento di conoscenza e di indirizzo che consegniamo al Parlamento, al Governo e all’opinione pubblica affinché le politiche di contrasto all’illegalità nei settori della gestione dei rifiuti, della tutela dell’ambiente e della produzione agroalimentare possano poggiare su basi solide, documentate e aggiornate. La nostra attività proseguirà con l’usuale rigore e l’attenzione ai territori </w:t>
      </w:r>
      <w:r w:rsidRPr="006A3F8E">
        <w:rPr>
          <w:rFonts w:ascii="Rubik" w:hAnsi="Rubik" w:cs="Rubik"/>
          <w:i/>
          <w:iCs/>
          <w:sz w:val="21"/>
          <w:szCs w:val="21"/>
        </w:rPr>
        <w:t>perché</w:t>
      </w:r>
      <w:r w:rsidRPr="006A3F8E">
        <w:rPr>
          <w:rFonts w:ascii="Rubik" w:hAnsi="Rubik" w:cs="Rubik" w:hint="cs"/>
          <w:i/>
          <w:iCs/>
          <w:sz w:val="21"/>
          <w:szCs w:val="21"/>
        </w:rPr>
        <w:t xml:space="preserve"> tutela dell’ambiente, salute dei cittadini e legalità economica rappresentano una priorità nazionale”.</w:t>
      </w:r>
    </w:p>
    <w:p w14:paraId="0A2AD540" w14:textId="77777777" w:rsidR="00F84A59" w:rsidRPr="006A3F8E" w:rsidRDefault="00F84A59" w:rsidP="00F84A59">
      <w:pPr>
        <w:jc w:val="both"/>
        <w:rPr>
          <w:rFonts w:ascii="Rubik" w:hAnsi="Rubik" w:cs="Rubik" w:hint="cs"/>
          <w:sz w:val="21"/>
          <w:szCs w:val="21"/>
        </w:rPr>
      </w:pPr>
    </w:p>
    <w:p w14:paraId="70EB25DA" w14:textId="77777777" w:rsidR="00F84A59" w:rsidRPr="006A3F8E" w:rsidRDefault="00F84A59" w:rsidP="00F84A59">
      <w:pPr>
        <w:jc w:val="both"/>
        <w:rPr>
          <w:rFonts w:ascii="Rubik" w:hAnsi="Rubik" w:cs="Rubik" w:hint="cs"/>
          <w:b/>
          <w:bCs/>
          <w:sz w:val="21"/>
          <w:szCs w:val="21"/>
        </w:rPr>
      </w:pPr>
      <w:r w:rsidRPr="006A3F8E">
        <w:rPr>
          <w:rFonts w:ascii="Rubik" w:hAnsi="Rubik" w:cs="Rubik" w:hint="cs"/>
          <w:b/>
          <w:bCs/>
          <w:sz w:val="21"/>
          <w:szCs w:val="21"/>
        </w:rPr>
        <w:t>GLI OSPITI PRESENTI E GLI INTERVENTI</w:t>
      </w:r>
    </w:p>
    <w:p w14:paraId="1DBBE130" w14:textId="40353D1B" w:rsidR="00F84A59" w:rsidRPr="006A3F8E" w:rsidRDefault="00F84A59" w:rsidP="00F84A59">
      <w:pPr>
        <w:jc w:val="both"/>
        <w:rPr>
          <w:rFonts w:ascii="Rubik" w:hAnsi="Rubik" w:cs="Rubik"/>
          <w:sz w:val="21"/>
          <w:szCs w:val="21"/>
        </w:rPr>
      </w:pPr>
      <w:r w:rsidRPr="006A3F8E">
        <w:rPr>
          <w:rFonts w:ascii="Rubik" w:hAnsi="Rubik" w:cs="Rubik" w:hint="cs"/>
          <w:sz w:val="21"/>
          <w:szCs w:val="21"/>
        </w:rPr>
        <w:t>Oltre alla delegazione dei Commissari composta dagli onorevoli Carla Giuliano (M5s), Gianni Lampis (FdI) e Stefano Vaccari (Pd), erano presenti il gen. CA Virgilio Pomponi, in rappresentanza del Comandante generale della Guardia di Finanza, e il gen. D Cosimo Di Gesù che ha pronunciato il saluto di benvenuto agli ospiti della Commissione. Hanno rappresentato l’Università di Bergamo la prof.ssa</w:t>
      </w:r>
      <w:r w:rsidRPr="006A3F8E">
        <w:rPr>
          <w:rFonts w:ascii="Rubik" w:hAnsi="Rubik" w:cs="Rubik" w:hint="cs"/>
          <w:b/>
          <w:bCs/>
          <w:sz w:val="21"/>
          <w:szCs w:val="21"/>
        </w:rPr>
        <w:t xml:space="preserve"> Anna Lorenzetti</w:t>
      </w:r>
      <w:r w:rsidRPr="006A3F8E">
        <w:rPr>
          <w:rFonts w:ascii="Rubik" w:hAnsi="Rubik" w:cs="Rubik" w:hint="cs"/>
          <w:sz w:val="21"/>
          <w:szCs w:val="21"/>
        </w:rPr>
        <w:t xml:space="preserve">, ordinario di Diritto costituzionale, che ha portato i saluti del Magnifico Rettore Sergio Cavalieri, e il direttore del dipartimento di Giurisprudenza prof. </w:t>
      </w:r>
      <w:r w:rsidRPr="006A3F8E">
        <w:rPr>
          <w:rFonts w:ascii="Rubik" w:hAnsi="Rubik" w:cs="Rubik" w:hint="cs"/>
          <w:b/>
          <w:bCs/>
          <w:sz w:val="21"/>
          <w:szCs w:val="21"/>
        </w:rPr>
        <w:t>Lucio Imberti</w:t>
      </w:r>
      <w:r w:rsidRPr="006A3F8E">
        <w:rPr>
          <w:rFonts w:ascii="Rubik" w:hAnsi="Rubik" w:cs="Rubik" w:hint="cs"/>
          <w:sz w:val="21"/>
          <w:szCs w:val="21"/>
        </w:rPr>
        <w:t>. Presente per la Regione Lombardia l’assessore all’ambiente e al clima Giorgio Maione. Tra il pubblico la presidente di Ispra Maria Alessandra Gallone.</w:t>
      </w:r>
    </w:p>
    <w:p w14:paraId="2A3A0937" w14:textId="77777777" w:rsidR="006A3F8E" w:rsidRPr="006A3F8E" w:rsidRDefault="006A3F8E" w:rsidP="00F84A59">
      <w:pPr>
        <w:jc w:val="both"/>
        <w:rPr>
          <w:rFonts w:ascii="Rubik" w:hAnsi="Rubik" w:cs="Rubik" w:hint="cs"/>
          <w:sz w:val="21"/>
          <w:szCs w:val="21"/>
        </w:rPr>
      </w:pPr>
    </w:p>
    <w:p w14:paraId="4BBAA523" w14:textId="75E2D863" w:rsidR="00F84A59" w:rsidRPr="006A3F8E" w:rsidRDefault="00F84A59" w:rsidP="00F84A59">
      <w:pPr>
        <w:jc w:val="both"/>
        <w:rPr>
          <w:rFonts w:ascii="Rubik" w:hAnsi="Rubik" w:cs="Rubik"/>
          <w:sz w:val="21"/>
          <w:szCs w:val="21"/>
        </w:rPr>
      </w:pPr>
      <w:r w:rsidRPr="006A3F8E">
        <w:rPr>
          <w:rFonts w:ascii="Rubik" w:hAnsi="Rubik" w:cs="Rubik" w:hint="cs"/>
          <w:sz w:val="21"/>
          <w:szCs w:val="21"/>
        </w:rPr>
        <w:t xml:space="preserve">In apertura dei lavori, il videomessaggio del presidente della Regione Lombardia </w:t>
      </w:r>
      <w:r w:rsidRPr="006A3F8E">
        <w:rPr>
          <w:rFonts w:ascii="Rubik" w:hAnsi="Rubik" w:cs="Rubik" w:hint="cs"/>
          <w:b/>
          <w:bCs/>
          <w:sz w:val="21"/>
          <w:szCs w:val="21"/>
        </w:rPr>
        <w:t>Attilio Fontana</w:t>
      </w:r>
      <w:r w:rsidRPr="006A3F8E">
        <w:rPr>
          <w:rFonts w:ascii="Rubik" w:hAnsi="Rubik" w:cs="Rubik" w:hint="cs"/>
          <w:sz w:val="21"/>
          <w:szCs w:val="21"/>
        </w:rPr>
        <w:t xml:space="preserve"> che si è complimentato per il lavoro svolto dalla Commissione, sottolineando l’impegno comune di tutte le istituzioni, compreso il livello di governo regionale, nella prevenzione e repressione degli ecoreati a tutela della salute dei cittadini, mentre l’assessore Maione ha illustrato le attività della Regione nel settore ambientale, ponendo in risalto aspetti fondamentali nel garantire un presidio costante tra cui i controlli di ARPA, la presenza di un sistema impiantistico adeguato, la semplificazione normativa, l’educazione dei cittadini e la collaborazione con le forze di polizia presenti sul territorio, nonché i necessari investimenti per le operazioni di risanamento e bonifica.</w:t>
      </w:r>
    </w:p>
    <w:p w14:paraId="4822B0BB" w14:textId="77777777" w:rsidR="006A3F8E" w:rsidRPr="006A3F8E" w:rsidRDefault="006A3F8E" w:rsidP="00F84A59">
      <w:pPr>
        <w:jc w:val="both"/>
        <w:rPr>
          <w:rFonts w:ascii="Rubik" w:hAnsi="Rubik" w:cs="Rubik" w:hint="cs"/>
          <w:sz w:val="21"/>
          <w:szCs w:val="21"/>
        </w:rPr>
      </w:pPr>
    </w:p>
    <w:p w14:paraId="70BB82CE" w14:textId="029B5BB8" w:rsidR="00F84A59" w:rsidRPr="006A3F8E" w:rsidRDefault="00F84A59" w:rsidP="00F84A59">
      <w:pPr>
        <w:jc w:val="both"/>
        <w:rPr>
          <w:rFonts w:ascii="Rubik" w:hAnsi="Rubik" w:cs="Rubik" w:hint="cs"/>
          <w:sz w:val="21"/>
          <w:szCs w:val="21"/>
        </w:rPr>
      </w:pPr>
      <w:r w:rsidRPr="006A3F8E">
        <w:rPr>
          <w:rFonts w:ascii="Rubik" w:hAnsi="Rubik" w:cs="Rubik" w:hint="cs"/>
          <w:sz w:val="21"/>
          <w:szCs w:val="21"/>
        </w:rPr>
        <w:t>Di seguito, la prof.ssa</w:t>
      </w:r>
      <w:r w:rsidRPr="006A3F8E">
        <w:rPr>
          <w:rFonts w:ascii="Rubik" w:hAnsi="Rubik" w:cs="Rubik" w:hint="cs"/>
          <w:b/>
          <w:bCs/>
          <w:sz w:val="21"/>
          <w:szCs w:val="21"/>
        </w:rPr>
        <w:t xml:space="preserve"> Lorenzetti</w:t>
      </w:r>
      <w:r w:rsidRPr="006A3F8E">
        <w:rPr>
          <w:rFonts w:ascii="Rubik" w:hAnsi="Rubik" w:cs="Rubik" w:hint="cs"/>
          <w:sz w:val="21"/>
          <w:szCs w:val="21"/>
        </w:rPr>
        <w:t xml:space="preserve"> ha espresso </w:t>
      </w:r>
      <w:r w:rsidRPr="006A3F8E">
        <w:rPr>
          <w:rFonts w:ascii="Rubik" w:hAnsi="Rubik" w:cs="Rubik" w:hint="cs"/>
          <w:i/>
          <w:iCs/>
          <w:sz w:val="21"/>
          <w:szCs w:val="21"/>
        </w:rPr>
        <w:t>“soddisfazione e orgoglio per il supporto che abbiamo avuto la possibilità di offrire a un così importante organo parlamentare, un’attività che, peraltro, rappresenta anche un'importante occasione di crescita professionale per tutti noi e soprattutto per i nostri giovani ricercatori”.</w:t>
      </w:r>
      <w:r w:rsidRPr="006A3F8E">
        <w:rPr>
          <w:rFonts w:ascii="Rubik" w:hAnsi="Rubik" w:cs="Rubik" w:hint="cs"/>
          <w:sz w:val="21"/>
          <w:szCs w:val="21"/>
        </w:rPr>
        <w:t xml:space="preserve"> Il prof. </w:t>
      </w:r>
      <w:r w:rsidRPr="006A3F8E">
        <w:rPr>
          <w:rFonts w:ascii="Rubik" w:hAnsi="Rubik" w:cs="Rubik" w:hint="cs"/>
          <w:b/>
          <w:bCs/>
          <w:sz w:val="21"/>
          <w:szCs w:val="21"/>
        </w:rPr>
        <w:t>Imberti</w:t>
      </w:r>
      <w:r w:rsidRPr="006A3F8E">
        <w:rPr>
          <w:rFonts w:ascii="Rubik" w:hAnsi="Rubik" w:cs="Rubik" w:hint="cs"/>
          <w:sz w:val="21"/>
          <w:szCs w:val="21"/>
        </w:rPr>
        <w:t xml:space="preserve"> ha poi ribadito il compiacimento per il coinvolgimento del Dipartimento attraverso la creazione di un gruppo di lavoro a supporto della commissione che vede </w:t>
      </w:r>
      <w:r w:rsidR="006A3F8E" w:rsidRPr="006A3F8E">
        <w:rPr>
          <w:rFonts w:ascii="Rubik" w:hAnsi="Rubik" w:cs="Rubik"/>
          <w:sz w:val="21"/>
          <w:szCs w:val="21"/>
        </w:rPr>
        <w:t xml:space="preserve">la </w:t>
      </w:r>
      <w:r w:rsidRPr="006A3F8E">
        <w:rPr>
          <w:rFonts w:ascii="Rubik" w:hAnsi="Rubik" w:cs="Rubik" w:hint="cs"/>
          <w:sz w:val="21"/>
          <w:szCs w:val="21"/>
        </w:rPr>
        <w:t xml:space="preserve">partecipazione di professori di diverse materie </w:t>
      </w:r>
      <w:r w:rsidR="006A3F8E" w:rsidRPr="006A3F8E">
        <w:rPr>
          <w:rFonts w:ascii="Rubik" w:hAnsi="Rubik" w:cs="Rubik"/>
          <w:sz w:val="21"/>
          <w:szCs w:val="21"/>
        </w:rPr>
        <w:t xml:space="preserve">di </w:t>
      </w:r>
      <w:r w:rsidRPr="006A3F8E">
        <w:rPr>
          <w:rFonts w:ascii="Rubik" w:hAnsi="Rubik" w:cs="Rubik" w:hint="cs"/>
          <w:sz w:val="21"/>
          <w:szCs w:val="21"/>
        </w:rPr>
        <w:t>diritto penale (</w:t>
      </w:r>
      <w:r w:rsidRPr="006A3F8E">
        <w:rPr>
          <w:rFonts w:ascii="Rubik" w:hAnsi="Rubik" w:cs="Rubik" w:hint="cs"/>
          <w:b/>
          <w:bCs/>
          <w:sz w:val="21"/>
          <w:szCs w:val="21"/>
        </w:rPr>
        <w:t>Luigi Cornacchia, Pierpaolo Astorina, Gaetano Stea, Luigi Scollo, Federico Donelli</w:t>
      </w:r>
      <w:r w:rsidRPr="006A3F8E">
        <w:rPr>
          <w:rFonts w:ascii="Rubik" w:hAnsi="Rubik" w:cs="Rubik" w:hint="cs"/>
          <w:sz w:val="21"/>
          <w:szCs w:val="21"/>
        </w:rPr>
        <w:t>), diritto costituzionale (</w:t>
      </w:r>
      <w:r w:rsidRPr="006A3F8E">
        <w:rPr>
          <w:rFonts w:ascii="Rubik" w:hAnsi="Rubik" w:cs="Rubik" w:hint="cs"/>
          <w:b/>
          <w:bCs/>
          <w:sz w:val="21"/>
          <w:szCs w:val="21"/>
        </w:rPr>
        <w:t>Anna Lorenzetti</w:t>
      </w:r>
      <w:r w:rsidRPr="006A3F8E">
        <w:rPr>
          <w:rFonts w:ascii="Rubik" w:hAnsi="Rubik" w:cs="Rubik" w:hint="cs"/>
          <w:sz w:val="21"/>
          <w:szCs w:val="21"/>
        </w:rPr>
        <w:t xml:space="preserve"> che lo coordina e </w:t>
      </w:r>
      <w:r w:rsidRPr="006A3F8E">
        <w:rPr>
          <w:rFonts w:ascii="Rubik" w:hAnsi="Rubik" w:cs="Rubik" w:hint="cs"/>
          <w:b/>
          <w:bCs/>
          <w:sz w:val="21"/>
          <w:szCs w:val="21"/>
        </w:rPr>
        <w:t>Andrea Patanè</w:t>
      </w:r>
      <w:r w:rsidRPr="006A3F8E">
        <w:rPr>
          <w:rFonts w:ascii="Rubik" w:hAnsi="Rubik" w:cs="Rubik" w:hint="cs"/>
          <w:sz w:val="21"/>
          <w:szCs w:val="21"/>
        </w:rPr>
        <w:t>), diritto amministrativo (</w:t>
      </w:r>
      <w:r w:rsidRPr="006A3F8E">
        <w:rPr>
          <w:rFonts w:ascii="Rubik" w:hAnsi="Rubik" w:cs="Rubik" w:hint="cs"/>
          <w:b/>
          <w:bCs/>
          <w:sz w:val="21"/>
          <w:szCs w:val="21"/>
        </w:rPr>
        <w:t>Ilaria Genuessi</w:t>
      </w:r>
      <w:r w:rsidRPr="006A3F8E">
        <w:rPr>
          <w:rFonts w:ascii="Rubik" w:hAnsi="Rubik" w:cs="Rubik" w:hint="cs"/>
          <w:sz w:val="21"/>
          <w:szCs w:val="21"/>
        </w:rPr>
        <w:t>), diritto dell'unione europea (</w:t>
      </w:r>
      <w:r w:rsidRPr="006A3F8E">
        <w:rPr>
          <w:rFonts w:ascii="Rubik" w:hAnsi="Rubik" w:cs="Rubik" w:hint="cs"/>
          <w:b/>
          <w:bCs/>
          <w:sz w:val="21"/>
          <w:szCs w:val="21"/>
        </w:rPr>
        <w:t>Cinzia Peraro</w:t>
      </w:r>
      <w:r w:rsidRPr="006A3F8E">
        <w:rPr>
          <w:rFonts w:ascii="Rubik" w:hAnsi="Rubik" w:cs="Rubik" w:hint="cs"/>
          <w:sz w:val="21"/>
          <w:szCs w:val="21"/>
        </w:rPr>
        <w:t>), diritto pubblico dell'economia (</w:t>
      </w:r>
      <w:r w:rsidRPr="006A3F8E">
        <w:rPr>
          <w:rFonts w:ascii="Rubik" w:hAnsi="Rubik" w:cs="Rubik" w:hint="cs"/>
          <w:b/>
          <w:bCs/>
          <w:sz w:val="21"/>
          <w:szCs w:val="21"/>
        </w:rPr>
        <w:t>Emanuele Comi</w:t>
      </w:r>
      <w:r w:rsidRPr="006A3F8E">
        <w:rPr>
          <w:rFonts w:ascii="Rubik" w:hAnsi="Rubik" w:cs="Rubik" w:hint="cs"/>
          <w:sz w:val="21"/>
          <w:szCs w:val="21"/>
        </w:rPr>
        <w:t>) e medicina legale (</w:t>
      </w:r>
      <w:r w:rsidRPr="006A3F8E">
        <w:rPr>
          <w:rFonts w:ascii="Rubik" w:hAnsi="Rubik" w:cs="Rubik" w:hint="cs"/>
          <w:b/>
          <w:bCs/>
          <w:sz w:val="21"/>
          <w:szCs w:val="21"/>
        </w:rPr>
        <w:t>Francesco Saverio Romolo</w:t>
      </w:r>
      <w:r w:rsidRPr="006A3F8E">
        <w:rPr>
          <w:rFonts w:ascii="Rubik" w:hAnsi="Rubik" w:cs="Rubik" w:hint="cs"/>
          <w:sz w:val="21"/>
          <w:szCs w:val="21"/>
        </w:rPr>
        <w:t>).</w:t>
      </w:r>
    </w:p>
    <w:sectPr w:rsidR="00F84A59" w:rsidRPr="006A3F8E">
      <w:headerReference w:type="even" r:id="rId12"/>
      <w:headerReference w:type="default" r:id="rId13"/>
      <w:footerReference w:type="default" r:id="rId14"/>
      <w:headerReference w:type="first" r:id="rId15"/>
      <w:pgSz w:w="11900" w:h="16840"/>
      <w:pgMar w:top="2579" w:right="1134" w:bottom="1134" w:left="1418" w:header="708" w:footer="31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F61CAA" w14:textId="77777777" w:rsidR="00B77403" w:rsidRDefault="00B77403">
      <w:r>
        <w:separator/>
      </w:r>
    </w:p>
  </w:endnote>
  <w:endnote w:type="continuationSeparator" w:id="0">
    <w:p w14:paraId="529A079D" w14:textId="77777777" w:rsidR="00B77403" w:rsidRDefault="00B774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Times">
    <w:altName w:val="Times New Roman"/>
    <w:panose1 w:val="020B06040202020202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Rubik">
    <w:altName w:val="Arial"/>
    <w:panose1 w:val="020B0604020202020204"/>
    <w:charset w:val="B1"/>
    <w:family w:val="auto"/>
    <w:pitch w:val="variable"/>
    <w:sig w:usb0="A0002A6F" w:usb1="C000205B" w:usb2="00000000" w:usb3="00000000" w:csb0="000000F7"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FDB702" w14:textId="77777777" w:rsidR="007C29C7" w:rsidRDefault="001C3D94">
    <w:pPr>
      <w:pBdr>
        <w:top w:val="nil"/>
        <w:left w:val="nil"/>
        <w:bottom w:val="nil"/>
        <w:right w:val="nil"/>
        <w:between w:val="nil"/>
      </w:pBdr>
      <w:tabs>
        <w:tab w:val="center" w:pos="4819"/>
        <w:tab w:val="right" w:pos="9638"/>
      </w:tabs>
      <w:rPr>
        <w:rFonts w:ascii="Rubik" w:eastAsia="Rubik" w:hAnsi="Rubik" w:cs="Rubik"/>
        <w:color w:val="0D0D0D"/>
        <w:sz w:val="16"/>
        <w:szCs w:val="16"/>
      </w:rPr>
    </w:pPr>
    <w:r>
      <w:rPr>
        <w:rFonts w:ascii="Rubik" w:eastAsia="Rubik" w:hAnsi="Rubik" w:cs="Rubik"/>
        <w:color w:val="0D0D0D"/>
        <w:sz w:val="16"/>
        <w:szCs w:val="16"/>
      </w:rPr>
      <w:t xml:space="preserve">Ufficio stampa Università degli studi di Bergamo </w:t>
    </w:r>
  </w:p>
  <w:p w14:paraId="4D627761" w14:textId="77777777" w:rsidR="007C29C7" w:rsidRDefault="001C3D94">
    <w:pPr>
      <w:pBdr>
        <w:top w:val="nil"/>
        <w:left w:val="nil"/>
        <w:bottom w:val="nil"/>
        <w:right w:val="nil"/>
        <w:between w:val="nil"/>
      </w:pBdr>
      <w:tabs>
        <w:tab w:val="center" w:pos="4819"/>
        <w:tab w:val="right" w:pos="9638"/>
      </w:tabs>
      <w:rPr>
        <w:rFonts w:ascii="Rubik" w:eastAsia="Rubik" w:hAnsi="Rubik" w:cs="Rubik"/>
        <w:color w:val="0D0D0D"/>
        <w:sz w:val="16"/>
        <w:szCs w:val="16"/>
      </w:rPr>
    </w:pPr>
    <w:r>
      <w:rPr>
        <w:rFonts w:ascii="Rubik" w:eastAsia="Rubik" w:hAnsi="Rubik" w:cs="Rubik"/>
        <w:color w:val="0D0D0D"/>
        <w:sz w:val="16"/>
        <w:szCs w:val="16"/>
      </w:rPr>
      <w:t>Claudia Rota</w:t>
    </w:r>
  </w:p>
  <w:p w14:paraId="558AB228" w14:textId="77777777" w:rsidR="007C29C7" w:rsidRDefault="001C3D94">
    <w:pPr>
      <w:pBdr>
        <w:top w:val="nil"/>
        <w:left w:val="nil"/>
        <w:bottom w:val="nil"/>
        <w:right w:val="nil"/>
        <w:between w:val="nil"/>
      </w:pBdr>
      <w:tabs>
        <w:tab w:val="center" w:pos="4819"/>
        <w:tab w:val="right" w:pos="9638"/>
      </w:tabs>
      <w:rPr>
        <w:rFonts w:ascii="Rubik" w:eastAsia="Rubik" w:hAnsi="Rubik" w:cs="Rubik"/>
        <w:color w:val="0D0D0D"/>
        <w:sz w:val="16"/>
        <w:szCs w:val="16"/>
      </w:rPr>
    </w:pPr>
    <w:r>
      <w:rPr>
        <w:rFonts w:ascii="Rubik" w:eastAsia="Rubik" w:hAnsi="Rubik" w:cs="Rubik"/>
        <w:color w:val="0D0D0D"/>
        <w:sz w:val="16"/>
        <w:szCs w:val="16"/>
      </w:rPr>
      <w:t>claudia.rota@unibg.it</w:t>
    </w:r>
  </w:p>
  <w:p w14:paraId="44E19447" w14:textId="77777777" w:rsidR="007C29C7" w:rsidRDefault="001C3D94">
    <w:pPr>
      <w:pBdr>
        <w:top w:val="nil"/>
        <w:left w:val="nil"/>
        <w:bottom w:val="nil"/>
        <w:right w:val="nil"/>
        <w:between w:val="nil"/>
      </w:pBdr>
      <w:tabs>
        <w:tab w:val="center" w:pos="4819"/>
        <w:tab w:val="right" w:pos="9638"/>
      </w:tabs>
      <w:rPr>
        <w:rFonts w:ascii="Rubik" w:eastAsia="Rubik" w:hAnsi="Rubik" w:cs="Rubik"/>
        <w:color w:val="404040"/>
        <w:sz w:val="16"/>
        <w:szCs w:val="16"/>
      </w:rPr>
    </w:pPr>
    <w:r>
      <w:rPr>
        <w:rFonts w:ascii="Rubik" w:eastAsia="Rubik" w:hAnsi="Rubik" w:cs="Rubik"/>
        <w:color w:val="0D0D0D"/>
        <w:sz w:val="16"/>
        <w:szCs w:val="16"/>
      </w:rPr>
      <w:t xml:space="preserve">348 5100463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54CE74" w14:textId="77777777" w:rsidR="00B77403" w:rsidRDefault="00B77403">
      <w:r>
        <w:separator/>
      </w:r>
    </w:p>
  </w:footnote>
  <w:footnote w:type="continuationSeparator" w:id="0">
    <w:p w14:paraId="2851AA36" w14:textId="77777777" w:rsidR="00B77403" w:rsidRDefault="00B774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9B832E" w14:textId="77777777" w:rsidR="007C29C7" w:rsidRDefault="001C3D94">
    <w:pPr>
      <w:pBdr>
        <w:top w:val="nil"/>
        <w:left w:val="nil"/>
        <w:bottom w:val="nil"/>
        <w:right w:val="nil"/>
        <w:between w:val="nil"/>
      </w:pBdr>
      <w:tabs>
        <w:tab w:val="center" w:pos="4819"/>
        <w:tab w:val="right" w:pos="9638"/>
      </w:tabs>
      <w:rPr>
        <w:rFonts w:ascii="Calibri" w:eastAsia="Calibri" w:hAnsi="Calibri" w:cs="Calibri"/>
        <w:color w:val="000000"/>
      </w:rPr>
    </w:pPr>
    <w:r>
      <w:rPr>
        <w:rFonts w:ascii="Calibri" w:eastAsia="Calibri" w:hAnsi="Calibri" w:cs="Calibri"/>
        <w:noProof/>
        <w:color w:val="000000"/>
      </w:rPr>
      <w:drawing>
        <wp:anchor distT="0" distB="0" distL="0" distR="0" simplePos="0" relativeHeight="251656704" behindDoc="1" locked="0" layoutInCell="1" hidden="0" allowOverlap="1" wp14:anchorId="10ECC178" wp14:editId="65C6C254">
          <wp:simplePos x="0" y="0"/>
          <wp:positionH relativeFrom="margin">
            <wp:align>center</wp:align>
          </wp:positionH>
          <wp:positionV relativeFrom="margin">
            <wp:align>center</wp:align>
          </wp:positionV>
          <wp:extent cx="7562215" cy="1676400"/>
          <wp:effectExtent l="0" t="0" r="0" b="0"/>
          <wp:wrapNone/>
          <wp:docPr id="16" name="Immagine 1" descr="/Volumes/Estensione_DiscoFisso/CartaIntestata_UniBg_pulita/Header_generico_Tavola disegno 1.png"/>
          <wp:cNvGraphicFramePr/>
          <a:graphic xmlns:a="http://schemas.openxmlformats.org/drawingml/2006/main">
            <a:graphicData uri="http://schemas.openxmlformats.org/drawingml/2006/picture">
              <pic:pic xmlns:pic="http://schemas.openxmlformats.org/drawingml/2006/picture">
                <pic:nvPicPr>
                  <pic:cNvPr id="0" name="image2.png" descr="/Volumes/Estensione_DiscoFisso/CartaIntestata_UniBg_pulita/Header_generico_Tavola disegno 1.png"/>
                  <pic:cNvPicPr preferRelativeResize="0"/>
                </pic:nvPicPr>
                <pic:blipFill>
                  <a:blip r:embed="rId1"/>
                  <a:srcRect/>
                  <a:stretch>
                    <a:fillRect/>
                  </a:stretch>
                </pic:blipFill>
                <pic:spPr>
                  <a:xfrm>
                    <a:off x="0" y="0"/>
                    <a:ext cx="7562215" cy="1676400"/>
                  </a:xfrm>
                  <a:prstGeom prst="rect">
                    <a:avLst/>
                  </a:prstGeom>
                  <a:ln/>
                </pic:spPr>
              </pic:pic>
            </a:graphicData>
          </a:graphic>
        </wp:anchor>
      </w:drawing>
    </w:r>
    <w:r w:rsidR="00B77403">
      <w:rPr>
        <w:rFonts w:ascii="Calibri" w:eastAsia="Calibri" w:hAnsi="Calibri" w:cs="Calibri"/>
        <w:color w:val="000000"/>
      </w:rPr>
      <w:pict w14:anchorId="4DE459A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27" type="#_x0000_t75" alt="/Users/noemiborghese/Downloads/Header_Dirigenza/Header_DirettoreGenerale_Tavola disegno 1.png" style="position:absolute;margin-left:0;margin-top:0;width:595.45pt;height:132pt;z-index:-251656704;mso-wrap-edited:f;mso-width-percent:0;mso-height-percent:0;mso-position-horizontal:center;mso-position-horizontal-relative:margin;mso-position-vertical:center;mso-position-vertical-relative:margin;mso-width-percent:0;mso-height-percent:0">
          <v:imagedata r:id="rId2" o:title="image1"/>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16CDA2" w14:textId="267AE69B" w:rsidR="007C29C7" w:rsidRDefault="00B77403">
    <w:pPr>
      <w:pBdr>
        <w:top w:val="nil"/>
        <w:left w:val="nil"/>
        <w:bottom w:val="nil"/>
        <w:right w:val="nil"/>
        <w:between w:val="nil"/>
      </w:pBdr>
      <w:tabs>
        <w:tab w:val="center" w:pos="4819"/>
        <w:tab w:val="right" w:pos="9638"/>
      </w:tabs>
      <w:rPr>
        <w:rFonts w:ascii="Calibri" w:eastAsia="Calibri" w:hAnsi="Calibri" w:cs="Calibri"/>
        <w:color w:val="000000"/>
      </w:rPr>
    </w:pPr>
    <w:r>
      <w:rPr>
        <w:rFonts w:ascii="Calibri" w:eastAsia="Calibri" w:hAnsi="Calibri" w:cs="Calibri"/>
        <w:color w:val="000000"/>
      </w:rPr>
      <w:pict w14:anchorId="005B6E2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6" type="#_x0000_t75" alt="/Volumes/Estensione_DiscoFisso/CartaIntestata_UniBg_pulita/Header_generico_Tavola disegno 1.png" style="position:absolute;margin-left:-71.05pt;margin-top:-128.75pt;width:595.45pt;height:132pt;z-index:-251658752;mso-wrap-edited:f;mso-width-percent:0;mso-height-percent:0;mso-position-horizontal:absolute;mso-position-horizontal-relative:margin;mso-position-vertical:absolute;mso-position-vertical-relative:margin;mso-width-percent:0;mso-height-percent:0">
          <v:imagedata r:id="rId1" o:title="image2"/>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C1E854" w14:textId="77777777" w:rsidR="007C29C7" w:rsidRDefault="001C3D94">
    <w:pPr>
      <w:pBdr>
        <w:top w:val="nil"/>
        <w:left w:val="nil"/>
        <w:bottom w:val="nil"/>
        <w:right w:val="nil"/>
        <w:between w:val="nil"/>
      </w:pBdr>
      <w:tabs>
        <w:tab w:val="center" w:pos="4819"/>
        <w:tab w:val="right" w:pos="9638"/>
      </w:tabs>
      <w:rPr>
        <w:rFonts w:ascii="Calibri" w:eastAsia="Calibri" w:hAnsi="Calibri" w:cs="Calibri"/>
        <w:color w:val="000000"/>
      </w:rPr>
    </w:pPr>
    <w:r>
      <w:rPr>
        <w:rFonts w:ascii="Calibri" w:eastAsia="Calibri" w:hAnsi="Calibri" w:cs="Calibri"/>
        <w:noProof/>
        <w:color w:val="000000"/>
      </w:rPr>
      <w:drawing>
        <wp:anchor distT="0" distB="0" distL="0" distR="0" simplePos="0" relativeHeight="251655680" behindDoc="1" locked="0" layoutInCell="1" hidden="0" allowOverlap="1" wp14:anchorId="00928D99" wp14:editId="114EC96D">
          <wp:simplePos x="0" y="0"/>
          <wp:positionH relativeFrom="margin">
            <wp:align>center</wp:align>
          </wp:positionH>
          <wp:positionV relativeFrom="margin">
            <wp:align>center</wp:align>
          </wp:positionV>
          <wp:extent cx="7562215" cy="1676400"/>
          <wp:effectExtent l="0" t="0" r="0" b="0"/>
          <wp:wrapNone/>
          <wp:docPr id="15" name="Immagine 2" descr="/Volumes/Estensione_DiscoFisso/CartaIntestata_UniBg_pulita/Header_generico_Tavola disegno 1.png"/>
          <wp:cNvGraphicFramePr/>
          <a:graphic xmlns:a="http://schemas.openxmlformats.org/drawingml/2006/main">
            <a:graphicData uri="http://schemas.openxmlformats.org/drawingml/2006/picture">
              <pic:pic xmlns:pic="http://schemas.openxmlformats.org/drawingml/2006/picture">
                <pic:nvPicPr>
                  <pic:cNvPr id="0" name="image2.png" descr="/Volumes/Estensione_DiscoFisso/CartaIntestata_UniBg_pulita/Header_generico_Tavola disegno 1.png"/>
                  <pic:cNvPicPr preferRelativeResize="0"/>
                </pic:nvPicPr>
                <pic:blipFill>
                  <a:blip r:embed="rId1"/>
                  <a:srcRect/>
                  <a:stretch>
                    <a:fillRect/>
                  </a:stretch>
                </pic:blipFill>
                <pic:spPr>
                  <a:xfrm>
                    <a:off x="0" y="0"/>
                    <a:ext cx="7562215" cy="1676400"/>
                  </a:xfrm>
                  <a:prstGeom prst="rect">
                    <a:avLst/>
                  </a:prstGeom>
                  <a:ln/>
                </pic:spPr>
              </pic:pic>
            </a:graphicData>
          </a:graphic>
        </wp:anchor>
      </w:drawing>
    </w:r>
    <w:r w:rsidR="00B77403">
      <w:rPr>
        <w:rFonts w:ascii="Calibri" w:eastAsia="Calibri" w:hAnsi="Calibri" w:cs="Calibri"/>
        <w:color w:val="000000"/>
      </w:rPr>
      <w:pict w14:anchorId="47784E1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5" type="#_x0000_t75" alt="/Users/noemiborghese/Downloads/Header_Dirigenza/Header_DirettoreGenerale_Tavola disegno 1.png" style="position:absolute;margin-left:0;margin-top:0;width:595.45pt;height:132pt;z-index:-251657728;mso-wrap-edited:f;mso-width-percent:0;mso-height-percent:0;mso-position-horizontal:center;mso-position-horizontal-relative:margin;mso-position-vertical:center;mso-position-vertical-relative:margin;mso-width-percent:0;mso-height-percent:0">
          <v:imagedata r:id="rId2" o:title="image1"/>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30C59"/>
    <w:multiLevelType w:val="multilevel"/>
    <w:tmpl w:val="B17EC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F11D55"/>
    <w:multiLevelType w:val="multilevel"/>
    <w:tmpl w:val="F57AD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FC7231"/>
    <w:multiLevelType w:val="multilevel"/>
    <w:tmpl w:val="1E2E2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9D065B"/>
    <w:multiLevelType w:val="multilevel"/>
    <w:tmpl w:val="0420B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F944AA"/>
    <w:multiLevelType w:val="multilevel"/>
    <w:tmpl w:val="F462F30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18DB2EC4"/>
    <w:multiLevelType w:val="multilevel"/>
    <w:tmpl w:val="AE66FA06"/>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1A7A7177"/>
    <w:multiLevelType w:val="multilevel"/>
    <w:tmpl w:val="4D88E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505344"/>
    <w:multiLevelType w:val="multilevel"/>
    <w:tmpl w:val="331C3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B30810"/>
    <w:multiLevelType w:val="multilevel"/>
    <w:tmpl w:val="1D4C5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3F1883"/>
    <w:multiLevelType w:val="multilevel"/>
    <w:tmpl w:val="15DAD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209608C"/>
    <w:multiLevelType w:val="multilevel"/>
    <w:tmpl w:val="38625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49A582F"/>
    <w:multiLevelType w:val="multilevel"/>
    <w:tmpl w:val="AAB2E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A48425E"/>
    <w:multiLevelType w:val="multilevel"/>
    <w:tmpl w:val="C414C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B2D1E4B"/>
    <w:multiLevelType w:val="multilevel"/>
    <w:tmpl w:val="C7F20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B3D7F40"/>
    <w:multiLevelType w:val="hybridMultilevel"/>
    <w:tmpl w:val="FAA2A25C"/>
    <w:lvl w:ilvl="0" w:tplc="152CA286">
      <w:start w:val="1"/>
      <w:numFmt w:val="decimal"/>
      <w:lvlText w:val="%1)"/>
      <w:lvlJc w:val="left"/>
      <w:pPr>
        <w:ind w:left="360" w:hanging="360"/>
      </w:pPr>
      <w:rPr>
        <w:rFonts w:hint="default"/>
        <w:color w:val="auto"/>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5" w15:restartNumberingAfterBreak="0">
    <w:nsid w:val="318B6350"/>
    <w:multiLevelType w:val="hybridMultilevel"/>
    <w:tmpl w:val="6226BFD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32180768"/>
    <w:multiLevelType w:val="multilevel"/>
    <w:tmpl w:val="838C2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B0C6B0E"/>
    <w:multiLevelType w:val="multilevel"/>
    <w:tmpl w:val="942AA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CE65A3A"/>
    <w:multiLevelType w:val="hybridMultilevel"/>
    <w:tmpl w:val="3E86E856"/>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9" w15:restartNumberingAfterBreak="0">
    <w:nsid w:val="4F0254A7"/>
    <w:multiLevelType w:val="hybridMultilevel"/>
    <w:tmpl w:val="681099E2"/>
    <w:lvl w:ilvl="0" w:tplc="777C4988">
      <w:numFmt w:val="bullet"/>
      <w:lvlText w:val="-"/>
      <w:lvlJc w:val="left"/>
      <w:pPr>
        <w:ind w:left="360" w:hanging="360"/>
      </w:pPr>
      <w:rPr>
        <w:rFonts w:ascii="Times New Roman" w:eastAsia="Times New Roman" w:hAnsi="Times New Roman" w:cs="Times New Roman" w:hint="default"/>
        <w:color w:val="000000"/>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0" w15:restartNumberingAfterBreak="0">
    <w:nsid w:val="4F2C1DD6"/>
    <w:multiLevelType w:val="multilevel"/>
    <w:tmpl w:val="BA327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0B87314"/>
    <w:multiLevelType w:val="multilevel"/>
    <w:tmpl w:val="146A9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3700496"/>
    <w:multiLevelType w:val="multilevel"/>
    <w:tmpl w:val="1AC2F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93B5CF8"/>
    <w:multiLevelType w:val="multilevel"/>
    <w:tmpl w:val="C17E7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04C5C4A"/>
    <w:multiLevelType w:val="multilevel"/>
    <w:tmpl w:val="ADFC2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34A22A0"/>
    <w:multiLevelType w:val="multilevel"/>
    <w:tmpl w:val="2DEAD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3F30839"/>
    <w:multiLevelType w:val="multilevel"/>
    <w:tmpl w:val="5B368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4814148"/>
    <w:multiLevelType w:val="hybridMultilevel"/>
    <w:tmpl w:val="5F522D96"/>
    <w:lvl w:ilvl="0" w:tplc="AD201C26">
      <w:start w:val="1"/>
      <w:numFmt w:val="decimal"/>
      <w:lvlText w:val="%1."/>
      <w:lvlJc w:val="left"/>
      <w:pPr>
        <w:ind w:left="720" w:hanging="360"/>
      </w:pPr>
      <w:rPr>
        <w:rFonts w:hint="default"/>
        <w:i/>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7A2C42F9"/>
    <w:multiLevelType w:val="multilevel"/>
    <w:tmpl w:val="2278C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BF6578E"/>
    <w:multiLevelType w:val="multilevel"/>
    <w:tmpl w:val="3B98C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20891288">
    <w:abstractNumId w:val="9"/>
  </w:num>
  <w:num w:numId="2" w16cid:durableId="1694719780">
    <w:abstractNumId w:val="6"/>
  </w:num>
  <w:num w:numId="3" w16cid:durableId="437988418">
    <w:abstractNumId w:val="11"/>
  </w:num>
  <w:num w:numId="4" w16cid:durableId="410734966">
    <w:abstractNumId w:val="0"/>
  </w:num>
  <w:num w:numId="5" w16cid:durableId="1839995832">
    <w:abstractNumId w:val="17"/>
  </w:num>
  <w:num w:numId="6" w16cid:durableId="1689020828">
    <w:abstractNumId w:val="12"/>
  </w:num>
  <w:num w:numId="7" w16cid:durableId="266470059">
    <w:abstractNumId w:val="16"/>
  </w:num>
  <w:num w:numId="8" w16cid:durableId="935138782">
    <w:abstractNumId w:val="3"/>
  </w:num>
  <w:num w:numId="9" w16cid:durableId="242882547">
    <w:abstractNumId w:val="21"/>
  </w:num>
  <w:num w:numId="10" w16cid:durableId="1947618309">
    <w:abstractNumId w:val="25"/>
  </w:num>
  <w:num w:numId="11" w16cid:durableId="737092693">
    <w:abstractNumId w:val="18"/>
  </w:num>
  <w:num w:numId="12" w16cid:durableId="6961944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649747273">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057462325">
    <w:abstractNumId w:val="19"/>
  </w:num>
  <w:num w:numId="15" w16cid:durableId="613831411">
    <w:abstractNumId w:val="28"/>
  </w:num>
  <w:num w:numId="16" w16cid:durableId="1110123421">
    <w:abstractNumId w:val="7"/>
  </w:num>
  <w:num w:numId="17" w16cid:durableId="1208637518">
    <w:abstractNumId w:val="1"/>
  </w:num>
  <w:num w:numId="18" w16cid:durableId="1649823498">
    <w:abstractNumId w:val="14"/>
  </w:num>
  <w:num w:numId="19" w16cid:durableId="219365538">
    <w:abstractNumId w:val="24"/>
  </w:num>
  <w:num w:numId="20" w16cid:durableId="1050543124">
    <w:abstractNumId w:val="26"/>
  </w:num>
  <w:num w:numId="21" w16cid:durableId="1191069013">
    <w:abstractNumId w:val="23"/>
  </w:num>
  <w:num w:numId="22" w16cid:durableId="692196000">
    <w:abstractNumId w:val="20"/>
  </w:num>
  <w:num w:numId="23" w16cid:durableId="289090854">
    <w:abstractNumId w:val="10"/>
  </w:num>
  <w:num w:numId="24" w16cid:durableId="1905796040">
    <w:abstractNumId w:val="15"/>
  </w:num>
  <w:num w:numId="25" w16cid:durableId="539361414">
    <w:abstractNumId w:val="29"/>
  </w:num>
  <w:num w:numId="26" w16cid:durableId="6756659">
    <w:abstractNumId w:val="8"/>
  </w:num>
  <w:num w:numId="27" w16cid:durableId="264701326">
    <w:abstractNumId w:val="22"/>
  </w:num>
  <w:num w:numId="28" w16cid:durableId="1534804934">
    <w:abstractNumId w:val="2"/>
  </w:num>
  <w:num w:numId="29" w16cid:durableId="325524328">
    <w:abstractNumId w:val="13"/>
  </w:num>
  <w:num w:numId="30" w16cid:durableId="116111563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8"/>
  <w:defaultTabStop w:val="720"/>
  <w:hyphenationZone w:val="283"/>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29C7"/>
    <w:rsid w:val="00001A08"/>
    <w:rsid w:val="00003045"/>
    <w:rsid w:val="00004F06"/>
    <w:rsid w:val="00013102"/>
    <w:rsid w:val="0001312F"/>
    <w:rsid w:val="00015CE5"/>
    <w:rsid w:val="000162B5"/>
    <w:rsid w:val="00022F13"/>
    <w:rsid w:val="0003778D"/>
    <w:rsid w:val="000434F5"/>
    <w:rsid w:val="000453A1"/>
    <w:rsid w:val="00045FC2"/>
    <w:rsid w:val="00047A62"/>
    <w:rsid w:val="0005044A"/>
    <w:rsid w:val="00060A6D"/>
    <w:rsid w:val="000619AC"/>
    <w:rsid w:val="0007298F"/>
    <w:rsid w:val="00072F53"/>
    <w:rsid w:val="0007777E"/>
    <w:rsid w:val="00094222"/>
    <w:rsid w:val="00095626"/>
    <w:rsid w:val="000975ED"/>
    <w:rsid w:val="000A00C3"/>
    <w:rsid w:val="000A4DFC"/>
    <w:rsid w:val="000A5632"/>
    <w:rsid w:val="000A6AFC"/>
    <w:rsid w:val="000D12C0"/>
    <w:rsid w:val="000D2720"/>
    <w:rsid w:val="000D2CA4"/>
    <w:rsid w:val="000D4AC0"/>
    <w:rsid w:val="000D6C04"/>
    <w:rsid w:val="000E2907"/>
    <w:rsid w:val="000F4740"/>
    <w:rsid w:val="000F58F2"/>
    <w:rsid w:val="00102624"/>
    <w:rsid w:val="00103150"/>
    <w:rsid w:val="00103B96"/>
    <w:rsid w:val="0011190C"/>
    <w:rsid w:val="00115C93"/>
    <w:rsid w:val="0012098F"/>
    <w:rsid w:val="00122B06"/>
    <w:rsid w:val="00126744"/>
    <w:rsid w:val="00126815"/>
    <w:rsid w:val="00126FAB"/>
    <w:rsid w:val="00130B07"/>
    <w:rsid w:val="00135484"/>
    <w:rsid w:val="00142A87"/>
    <w:rsid w:val="00146DBB"/>
    <w:rsid w:val="00152493"/>
    <w:rsid w:val="00160527"/>
    <w:rsid w:val="0016086F"/>
    <w:rsid w:val="001611B8"/>
    <w:rsid w:val="00162617"/>
    <w:rsid w:val="00162F49"/>
    <w:rsid w:val="001635E9"/>
    <w:rsid w:val="001660F4"/>
    <w:rsid w:val="0016679F"/>
    <w:rsid w:val="001727BC"/>
    <w:rsid w:val="0017493A"/>
    <w:rsid w:val="00186E51"/>
    <w:rsid w:val="00190A94"/>
    <w:rsid w:val="0019224D"/>
    <w:rsid w:val="00194DF7"/>
    <w:rsid w:val="001967A9"/>
    <w:rsid w:val="001A3A45"/>
    <w:rsid w:val="001A7430"/>
    <w:rsid w:val="001B6B89"/>
    <w:rsid w:val="001C2D0B"/>
    <w:rsid w:val="001C3D94"/>
    <w:rsid w:val="001D4416"/>
    <w:rsid w:val="001D5E33"/>
    <w:rsid w:val="001D666A"/>
    <w:rsid w:val="001D6C55"/>
    <w:rsid w:val="001D70D0"/>
    <w:rsid w:val="001E2F27"/>
    <w:rsid w:val="001F0D20"/>
    <w:rsid w:val="001F1006"/>
    <w:rsid w:val="001F7800"/>
    <w:rsid w:val="00201407"/>
    <w:rsid w:val="00201DB9"/>
    <w:rsid w:val="002054ED"/>
    <w:rsid w:val="00207010"/>
    <w:rsid w:val="00210A3F"/>
    <w:rsid w:val="002222DE"/>
    <w:rsid w:val="002266D1"/>
    <w:rsid w:val="00235FF2"/>
    <w:rsid w:val="0023614C"/>
    <w:rsid w:val="00242EDB"/>
    <w:rsid w:val="00245167"/>
    <w:rsid w:val="00247AB2"/>
    <w:rsid w:val="002500FA"/>
    <w:rsid w:val="00251E12"/>
    <w:rsid w:val="00252858"/>
    <w:rsid w:val="0025485F"/>
    <w:rsid w:val="00256051"/>
    <w:rsid w:val="00256742"/>
    <w:rsid w:val="00260C0B"/>
    <w:rsid w:val="00261058"/>
    <w:rsid w:val="00262C57"/>
    <w:rsid w:val="002640B0"/>
    <w:rsid w:val="00267060"/>
    <w:rsid w:val="00267ABD"/>
    <w:rsid w:val="00271BE8"/>
    <w:rsid w:val="0027512F"/>
    <w:rsid w:val="00276476"/>
    <w:rsid w:val="002801E8"/>
    <w:rsid w:val="002805DB"/>
    <w:rsid w:val="00283012"/>
    <w:rsid w:val="00284CA6"/>
    <w:rsid w:val="00287481"/>
    <w:rsid w:val="00291095"/>
    <w:rsid w:val="002A57A1"/>
    <w:rsid w:val="002A7937"/>
    <w:rsid w:val="002B3D85"/>
    <w:rsid w:val="002B49D5"/>
    <w:rsid w:val="002D0697"/>
    <w:rsid w:val="002E3E77"/>
    <w:rsid w:val="002E4361"/>
    <w:rsid w:val="002E4DA9"/>
    <w:rsid w:val="002F0F8C"/>
    <w:rsid w:val="002F1308"/>
    <w:rsid w:val="002F2E08"/>
    <w:rsid w:val="002F2EFF"/>
    <w:rsid w:val="002F6B7B"/>
    <w:rsid w:val="00303BC2"/>
    <w:rsid w:val="003167DC"/>
    <w:rsid w:val="00317B14"/>
    <w:rsid w:val="00322075"/>
    <w:rsid w:val="003243D6"/>
    <w:rsid w:val="003279AB"/>
    <w:rsid w:val="00330F0B"/>
    <w:rsid w:val="00332FAC"/>
    <w:rsid w:val="00334242"/>
    <w:rsid w:val="00336391"/>
    <w:rsid w:val="00342F9C"/>
    <w:rsid w:val="003444E4"/>
    <w:rsid w:val="00344CE3"/>
    <w:rsid w:val="00350D91"/>
    <w:rsid w:val="00354B70"/>
    <w:rsid w:val="003605F2"/>
    <w:rsid w:val="0036108A"/>
    <w:rsid w:val="0036598F"/>
    <w:rsid w:val="003822A4"/>
    <w:rsid w:val="00393E25"/>
    <w:rsid w:val="00397809"/>
    <w:rsid w:val="003A19A4"/>
    <w:rsid w:val="003A390F"/>
    <w:rsid w:val="003A77B9"/>
    <w:rsid w:val="003B4B77"/>
    <w:rsid w:val="003B4B9B"/>
    <w:rsid w:val="003C1A74"/>
    <w:rsid w:val="003C7E36"/>
    <w:rsid w:val="003D5929"/>
    <w:rsid w:val="003D608C"/>
    <w:rsid w:val="003E2DF1"/>
    <w:rsid w:val="003E78A4"/>
    <w:rsid w:val="003F10BC"/>
    <w:rsid w:val="003F39B8"/>
    <w:rsid w:val="003F4AC0"/>
    <w:rsid w:val="00400CEB"/>
    <w:rsid w:val="00400ECE"/>
    <w:rsid w:val="00404C79"/>
    <w:rsid w:val="004063FB"/>
    <w:rsid w:val="0040789F"/>
    <w:rsid w:val="00412268"/>
    <w:rsid w:val="00414613"/>
    <w:rsid w:val="00415278"/>
    <w:rsid w:val="00424D5F"/>
    <w:rsid w:val="00426E6A"/>
    <w:rsid w:val="00430F4A"/>
    <w:rsid w:val="00431EB1"/>
    <w:rsid w:val="0043251F"/>
    <w:rsid w:val="004418FF"/>
    <w:rsid w:val="0044264F"/>
    <w:rsid w:val="00447474"/>
    <w:rsid w:val="00456EA1"/>
    <w:rsid w:val="00457BE3"/>
    <w:rsid w:val="0046348B"/>
    <w:rsid w:val="00474372"/>
    <w:rsid w:val="004772CE"/>
    <w:rsid w:val="00485AD6"/>
    <w:rsid w:val="00485F68"/>
    <w:rsid w:val="00491F41"/>
    <w:rsid w:val="00493921"/>
    <w:rsid w:val="0049562F"/>
    <w:rsid w:val="004A1073"/>
    <w:rsid w:val="004A1443"/>
    <w:rsid w:val="004A5C2E"/>
    <w:rsid w:val="004B3326"/>
    <w:rsid w:val="004B76E9"/>
    <w:rsid w:val="004C06D6"/>
    <w:rsid w:val="004C10B9"/>
    <w:rsid w:val="004C2EAE"/>
    <w:rsid w:val="004C3806"/>
    <w:rsid w:val="004C4159"/>
    <w:rsid w:val="004C7DBE"/>
    <w:rsid w:val="004D4D81"/>
    <w:rsid w:val="004E1E80"/>
    <w:rsid w:val="004E7E4D"/>
    <w:rsid w:val="004F0762"/>
    <w:rsid w:val="004F1235"/>
    <w:rsid w:val="004F2712"/>
    <w:rsid w:val="004F485D"/>
    <w:rsid w:val="00500F96"/>
    <w:rsid w:val="00505C85"/>
    <w:rsid w:val="00507CA4"/>
    <w:rsid w:val="005119C7"/>
    <w:rsid w:val="00513530"/>
    <w:rsid w:val="0051455E"/>
    <w:rsid w:val="0052417B"/>
    <w:rsid w:val="00525EB0"/>
    <w:rsid w:val="00532631"/>
    <w:rsid w:val="00543B3A"/>
    <w:rsid w:val="005442B8"/>
    <w:rsid w:val="00545251"/>
    <w:rsid w:val="00546FAE"/>
    <w:rsid w:val="00547216"/>
    <w:rsid w:val="00557F8B"/>
    <w:rsid w:val="00570AED"/>
    <w:rsid w:val="00572EBF"/>
    <w:rsid w:val="00573819"/>
    <w:rsid w:val="0057496F"/>
    <w:rsid w:val="00575179"/>
    <w:rsid w:val="005762C2"/>
    <w:rsid w:val="00576DC0"/>
    <w:rsid w:val="0058734C"/>
    <w:rsid w:val="00587420"/>
    <w:rsid w:val="005926A2"/>
    <w:rsid w:val="005977FD"/>
    <w:rsid w:val="005A033F"/>
    <w:rsid w:val="005A0AD6"/>
    <w:rsid w:val="005B109E"/>
    <w:rsid w:val="005B42D2"/>
    <w:rsid w:val="005B4C95"/>
    <w:rsid w:val="005C52E8"/>
    <w:rsid w:val="005C549E"/>
    <w:rsid w:val="005C5BAF"/>
    <w:rsid w:val="005D6A32"/>
    <w:rsid w:val="005E08BF"/>
    <w:rsid w:val="005E0E17"/>
    <w:rsid w:val="005E1D5B"/>
    <w:rsid w:val="005E2EE7"/>
    <w:rsid w:val="005F0829"/>
    <w:rsid w:val="005F6788"/>
    <w:rsid w:val="006048D4"/>
    <w:rsid w:val="00623FDA"/>
    <w:rsid w:val="00624C8D"/>
    <w:rsid w:val="00627535"/>
    <w:rsid w:val="006403B2"/>
    <w:rsid w:val="00640C81"/>
    <w:rsid w:val="00641970"/>
    <w:rsid w:val="00643C3F"/>
    <w:rsid w:val="00651E71"/>
    <w:rsid w:val="006534ED"/>
    <w:rsid w:val="006570EE"/>
    <w:rsid w:val="00683ED1"/>
    <w:rsid w:val="00687AC3"/>
    <w:rsid w:val="006908E5"/>
    <w:rsid w:val="006A3F8E"/>
    <w:rsid w:val="006A41D6"/>
    <w:rsid w:val="006A5228"/>
    <w:rsid w:val="006A6942"/>
    <w:rsid w:val="006C16E0"/>
    <w:rsid w:val="006C1C00"/>
    <w:rsid w:val="006C372E"/>
    <w:rsid w:val="006C58F4"/>
    <w:rsid w:val="006C6905"/>
    <w:rsid w:val="006E4C37"/>
    <w:rsid w:val="006E6223"/>
    <w:rsid w:val="006F4547"/>
    <w:rsid w:val="006F4D9F"/>
    <w:rsid w:val="006F6923"/>
    <w:rsid w:val="00702FB2"/>
    <w:rsid w:val="00703F46"/>
    <w:rsid w:val="00704377"/>
    <w:rsid w:val="007135A3"/>
    <w:rsid w:val="007247DB"/>
    <w:rsid w:val="0072694A"/>
    <w:rsid w:val="00726E06"/>
    <w:rsid w:val="00731D61"/>
    <w:rsid w:val="00734E3E"/>
    <w:rsid w:val="00737D94"/>
    <w:rsid w:val="00747A5C"/>
    <w:rsid w:val="007542A1"/>
    <w:rsid w:val="00754FB4"/>
    <w:rsid w:val="00762EA1"/>
    <w:rsid w:val="007630E9"/>
    <w:rsid w:val="007755E9"/>
    <w:rsid w:val="0078031C"/>
    <w:rsid w:val="007818E0"/>
    <w:rsid w:val="0078415F"/>
    <w:rsid w:val="00784211"/>
    <w:rsid w:val="00785440"/>
    <w:rsid w:val="00785C27"/>
    <w:rsid w:val="00785C9A"/>
    <w:rsid w:val="007866BB"/>
    <w:rsid w:val="007917F4"/>
    <w:rsid w:val="007A2870"/>
    <w:rsid w:val="007A66F7"/>
    <w:rsid w:val="007A6D90"/>
    <w:rsid w:val="007B31E7"/>
    <w:rsid w:val="007C19B3"/>
    <w:rsid w:val="007C29C7"/>
    <w:rsid w:val="007D375D"/>
    <w:rsid w:val="007E6002"/>
    <w:rsid w:val="007F2F89"/>
    <w:rsid w:val="007F4361"/>
    <w:rsid w:val="007F757F"/>
    <w:rsid w:val="00801F4E"/>
    <w:rsid w:val="00805ACC"/>
    <w:rsid w:val="0081731C"/>
    <w:rsid w:val="00820185"/>
    <w:rsid w:val="00822430"/>
    <w:rsid w:val="008231F1"/>
    <w:rsid w:val="00823845"/>
    <w:rsid w:val="0083266A"/>
    <w:rsid w:val="00833F4A"/>
    <w:rsid w:val="00835154"/>
    <w:rsid w:val="0084037C"/>
    <w:rsid w:val="00845268"/>
    <w:rsid w:val="00847DC8"/>
    <w:rsid w:val="008540E7"/>
    <w:rsid w:val="00857C7B"/>
    <w:rsid w:val="0086408D"/>
    <w:rsid w:val="00864E17"/>
    <w:rsid w:val="008918AA"/>
    <w:rsid w:val="008953A3"/>
    <w:rsid w:val="008964D8"/>
    <w:rsid w:val="008A02D5"/>
    <w:rsid w:val="008B0B72"/>
    <w:rsid w:val="008C2DE6"/>
    <w:rsid w:val="008C6AC6"/>
    <w:rsid w:val="008D4802"/>
    <w:rsid w:val="008D4837"/>
    <w:rsid w:val="008D62E7"/>
    <w:rsid w:val="008D7E3A"/>
    <w:rsid w:val="008E5D09"/>
    <w:rsid w:val="008E76CB"/>
    <w:rsid w:val="008F443F"/>
    <w:rsid w:val="00902AA8"/>
    <w:rsid w:val="00906A0E"/>
    <w:rsid w:val="009115F4"/>
    <w:rsid w:val="00912430"/>
    <w:rsid w:val="00912452"/>
    <w:rsid w:val="00915854"/>
    <w:rsid w:val="00917F05"/>
    <w:rsid w:val="00920865"/>
    <w:rsid w:val="00923C67"/>
    <w:rsid w:val="00924E0A"/>
    <w:rsid w:val="00934173"/>
    <w:rsid w:val="00934A72"/>
    <w:rsid w:val="00943013"/>
    <w:rsid w:val="0094332D"/>
    <w:rsid w:val="00945112"/>
    <w:rsid w:val="00947A6A"/>
    <w:rsid w:val="00953D7B"/>
    <w:rsid w:val="0095762E"/>
    <w:rsid w:val="00960660"/>
    <w:rsid w:val="00961A1C"/>
    <w:rsid w:val="009634EF"/>
    <w:rsid w:val="00964BC6"/>
    <w:rsid w:val="00976D8E"/>
    <w:rsid w:val="00986CF4"/>
    <w:rsid w:val="00987196"/>
    <w:rsid w:val="009925DF"/>
    <w:rsid w:val="009A4C79"/>
    <w:rsid w:val="009B0F7B"/>
    <w:rsid w:val="009B2AD6"/>
    <w:rsid w:val="009B5296"/>
    <w:rsid w:val="009B57B5"/>
    <w:rsid w:val="009C25EE"/>
    <w:rsid w:val="009C2DF4"/>
    <w:rsid w:val="009C4CFA"/>
    <w:rsid w:val="009C5BA0"/>
    <w:rsid w:val="009D536F"/>
    <w:rsid w:val="009E511D"/>
    <w:rsid w:val="009E79E9"/>
    <w:rsid w:val="009F5BC3"/>
    <w:rsid w:val="009F688E"/>
    <w:rsid w:val="009F759D"/>
    <w:rsid w:val="00A025A6"/>
    <w:rsid w:val="00A04FB3"/>
    <w:rsid w:val="00A055F5"/>
    <w:rsid w:val="00A126FA"/>
    <w:rsid w:val="00A1571A"/>
    <w:rsid w:val="00A168E2"/>
    <w:rsid w:val="00A20987"/>
    <w:rsid w:val="00A23A14"/>
    <w:rsid w:val="00A33970"/>
    <w:rsid w:val="00A343BE"/>
    <w:rsid w:val="00A35F1C"/>
    <w:rsid w:val="00A44FDA"/>
    <w:rsid w:val="00A5339E"/>
    <w:rsid w:val="00A61283"/>
    <w:rsid w:val="00A61B75"/>
    <w:rsid w:val="00A62098"/>
    <w:rsid w:val="00A66448"/>
    <w:rsid w:val="00A73B8E"/>
    <w:rsid w:val="00A756C9"/>
    <w:rsid w:val="00A76F51"/>
    <w:rsid w:val="00A7713C"/>
    <w:rsid w:val="00A80F6D"/>
    <w:rsid w:val="00A84F3A"/>
    <w:rsid w:val="00A9550F"/>
    <w:rsid w:val="00A95869"/>
    <w:rsid w:val="00A95C93"/>
    <w:rsid w:val="00A96303"/>
    <w:rsid w:val="00AA1DBF"/>
    <w:rsid w:val="00AB35C4"/>
    <w:rsid w:val="00AC3AAE"/>
    <w:rsid w:val="00AC4C9E"/>
    <w:rsid w:val="00AE224B"/>
    <w:rsid w:val="00AE4AC8"/>
    <w:rsid w:val="00AE7772"/>
    <w:rsid w:val="00AF28D3"/>
    <w:rsid w:val="00AF7767"/>
    <w:rsid w:val="00B0291B"/>
    <w:rsid w:val="00B02D1D"/>
    <w:rsid w:val="00B05A2C"/>
    <w:rsid w:val="00B11117"/>
    <w:rsid w:val="00B1174E"/>
    <w:rsid w:val="00B21D80"/>
    <w:rsid w:val="00B24BFD"/>
    <w:rsid w:val="00B24FF1"/>
    <w:rsid w:val="00B2715C"/>
    <w:rsid w:val="00B303AF"/>
    <w:rsid w:val="00B47613"/>
    <w:rsid w:val="00B54D30"/>
    <w:rsid w:val="00B57147"/>
    <w:rsid w:val="00B624E0"/>
    <w:rsid w:val="00B62DD6"/>
    <w:rsid w:val="00B631CE"/>
    <w:rsid w:val="00B64036"/>
    <w:rsid w:val="00B65302"/>
    <w:rsid w:val="00B659EC"/>
    <w:rsid w:val="00B66003"/>
    <w:rsid w:val="00B77403"/>
    <w:rsid w:val="00B8103A"/>
    <w:rsid w:val="00B8104F"/>
    <w:rsid w:val="00B810CD"/>
    <w:rsid w:val="00B845B2"/>
    <w:rsid w:val="00B908CD"/>
    <w:rsid w:val="00B91193"/>
    <w:rsid w:val="00B915F0"/>
    <w:rsid w:val="00B944D4"/>
    <w:rsid w:val="00B949D1"/>
    <w:rsid w:val="00B95EEE"/>
    <w:rsid w:val="00BA02CF"/>
    <w:rsid w:val="00BA0C9D"/>
    <w:rsid w:val="00BA127D"/>
    <w:rsid w:val="00BA2B90"/>
    <w:rsid w:val="00BA4A70"/>
    <w:rsid w:val="00BA52CC"/>
    <w:rsid w:val="00BA630D"/>
    <w:rsid w:val="00BB0AC6"/>
    <w:rsid w:val="00BC42D5"/>
    <w:rsid w:val="00BC7A7D"/>
    <w:rsid w:val="00BD4D58"/>
    <w:rsid w:val="00BE333F"/>
    <w:rsid w:val="00BE4416"/>
    <w:rsid w:val="00BE6648"/>
    <w:rsid w:val="00BE6676"/>
    <w:rsid w:val="00BF1A79"/>
    <w:rsid w:val="00BF3038"/>
    <w:rsid w:val="00C02775"/>
    <w:rsid w:val="00C14561"/>
    <w:rsid w:val="00C23F79"/>
    <w:rsid w:val="00C4263A"/>
    <w:rsid w:val="00C43326"/>
    <w:rsid w:val="00C433AF"/>
    <w:rsid w:val="00C47A78"/>
    <w:rsid w:val="00C5507E"/>
    <w:rsid w:val="00C56502"/>
    <w:rsid w:val="00C61FE6"/>
    <w:rsid w:val="00C65983"/>
    <w:rsid w:val="00C65CA5"/>
    <w:rsid w:val="00C73F96"/>
    <w:rsid w:val="00C740AF"/>
    <w:rsid w:val="00C9095A"/>
    <w:rsid w:val="00C92C99"/>
    <w:rsid w:val="00CA257E"/>
    <w:rsid w:val="00CA6E24"/>
    <w:rsid w:val="00CB09AF"/>
    <w:rsid w:val="00CB516A"/>
    <w:rsid w:val="00CC0FA2"/>
    <w:rsid w:val="00CC4769"/>
    <w:rsid w:val="00CC5E2B"/>
    <w:rsid w:val="00CD2982"/>
    <w:rsid w:val="00CE1FB9"/>
    <w:rsid w:val="00CF5B58"/>
    <w:rsid w:val="00D00EC9"/>
    <w:rsid w:val="00D0195F"/>
    <w:rsid w:val="00D126B7"/>
    <w:rsid w:val="00D2033F"/>
    <w:rsid w:val="00D22E51"/>
    <w:rsid w:val="00D249F2"/>
    <w:rsid w:val="00D269AB"/>
    <w:rsid w:val="00D336AB"/>
    <w:rsid w:val="00D34401"/>
    <w:rsid w:val="00D36B0E"/>
    <w:rsid w:val="00D41AF4"/>
    <w:rsid w:val="00D43295"/>
    <w:rsid w:val="00D50E0B"/>
    <w:rsid w:val="00D5796F"/>
    <w:rsid w:val="00D7373C"/>
    <w:rsid w:val="00D73BB7"/>
    <w:rsid w:val="00D75739"/>
    <w:rsid w:val="00D86466"/>
    <w:rsid w:val="00D866DB"/>
    <w:rsid w:val="00D94562"/>
    <w:rsid w:val="00D971A6"/>
    <w:rsid w:val="00DA2017"/>
    <w:rsid w:val="00DA2655"/>
    <w:rsid w:val="00DB4BFD"/>
    <w:rsid w:val="00DC19B5"/>
    <w:rsid w:val="00DC588B"/>
    <w:rsid w:val="00DC5AD5"/>
    <w:rsid w:val="00DC6FC9"/>
    <w:rsid w:val="00DD0E05"/>
    <w:rsid w:val="00DD36F9"/>
    <w:rsid w:val="00DE22A4"/>
    <w:rsid w:val="00DE3A7E"/>
    <w:rsid w:val="00DE52A8"/>
    <w:rsid w:val="00DF33A7"/>
    <w:rsid w:val="00DF74BB"/>
    <w:rsid w:val="00E00160"/>
    <w:rsid w:val="00E06571"/>
    <w:rsid w:val="00E12F07"/>
    <w:rsid w:val="00E138A5"/>
    <w:rsid w:val="00E233BF"/>
    <w:rsid w:val="00E24970"/>
    <w:rsid w:val="00E31F8B"/>
    <w:rsid w:val="00E35BD8"/>
    <w:rsid w:val="00E37A21"/>
    <w:rsid w:val="00E40EB6"/>
    <w:rsid w:val="00E45D05"/>
    <w:rsid w:val="00E51A65"/>
    <w:rsid w:val="00E63F56"/>
    <w:rsid w:val="00E77FF0"/>
    <w:rsid w:val="00E87AF9"/>
    <w:rsid w:val="00E90BFA"/>
    <w:rsid w:val="00E9359C"/>
    <w:rsid w:val="00E9723E"/>
    <w:rsid w:val="00E97B2F"/>
    <w:rsid w:val="00EA0661"/>
    <w:rsid w:val="00EB63EF"/>
    <w:rsid w:val="00EC13E9"/>
    <w:rsid w:val="00ED113A"/>
    <w:rsid w:val="00ED4A9B"/>
    <w:rsid w:val="00EE3579"/>
    <w:rsid w:val="00EE38A1"/>
    <w:rsid w:val="00EE6854"/>
    <w:rsid w:val="00EF2C8D"/>
    <w:rsid w:val="00EF7365"/>
    <w:rsid w:val="00F02708"/>
    <w:rsid w:val="00F03125"/>
    <w:rsid w:val="00F0345C"/>
    <w:rsid w:val="00F050DF"/>
    <w:rsid w:val="00F138A9"/>
    <w:rsid w:val="00F140C5"/>
    <w:rsid w:val="00F16CAF"/>
    <w:rsid w:val="00F20B4E"/>
    <w:rsid w:val="00F22490"/>
    <w:rsid w:val="00F2262D"/>
    <w:rsid w:val="00F2596C"/>
    <w:rsid w:val="00F25FFD"/>
    <w:rsid w:val="00F3332F"/>
    <w:rsid w:val="00F34CA1"/>
    <w:rsid w:val="00F35462"/>
    <w:rsid w:val="00F35569"/>
    <w:rsid w:val="00F35800"/>
    <w:rsid w:val="00F45205"/>
    <w:rsid w:val="00F47F11"/>
    <w:rsid w:val="00F544B7"/>
    <w:rsid w:val="00F549A4"/>
    <w:rsid w:val="00F61828"/>
    <w:rsid w:val="00F65783"/>
    <w:rsid w:val="00F805FF"/>
    <w:rsid w:val="00F84A59"/>
    <w:rsid w:val="00F90C5F"/>
    <w:rsid w:val="00F92917"/>
    <w:rsid w:val="00F95E43"/>
    <w:rsid w:val="00F9680F"/>
    <w:rsid w:val="00F97147"/>
    <w:rsid w:val="00FA38B4"/>
    <w:rsid w:val="00FA6804"/>
    <w:rsid w:val="00FB1FE2"/>
    <w:rsid w:val="00FB59AA"/>
    <w:rsid w:val="00FB7FB1"/>
    <w:rsid w:val="00FC269F"/>
    <w:rsid w:val="00FD4E9C"/>
    <w:rsid w:val="00FD5A60"/>
    <w:rsid w:val="00FD6170"/>
    <w:rsid w:val="00FE5789"/>
    <w:rsid w:val="00FF12D5"/>
    <w:rsid w:val="00FF1FA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FBE507"/>
  <w15:docId w15:val="{53A631A8-BBFB-4329-B649-D25CD08526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F140C5"/>
  </w:style>
  <w:style w:type="paragraph" w:styleId="Titolo1">
    <w:name w:val="heading 1"/>
    <w:basedOn w:val="Normale"/>
    <w:next w:val="Normale"/>
    <w:uiPriority w:val="9"/>
    <w:qFormat/>
    <w:pPr>
      <w:keepNext/>
      <w:keepLines/>
      <w:spacing w:before="480" w:after="120"/>
      <w:outlineLvl w:val="0"/>
    </w:pPr>
    <w:rPr>
      <w:b/>
      <w:sz w:val="48"/>
      <w:szCs w:val="48"/>
    </w:rPr>
  </w:style>
  <w:style w:type="paragraph" w:styleId="Titolo2">
    <w:name w:val="heading 2"/>
    <w:basedOn w:val="Normale"/>
    <w:next w:val="Normale"/>
    <w:uiPriority w:val="9"/>
    <w:semiHidden/>
    <w:unhideWhenUsed/>
    <w:qFormat/>
    <w:pPr>
      <w:keepNext/>
      <w:keepLines/>
      <w:spacing w:before="360" w:after="80"/>
      <w:outlineLvl w:val="1"/>
    </w:pPr>
    <w:rPr>
      <w:b/>
      <w:sz w:val="36"/>
      <w:szCs w:val="36"/>
    </w:rPr>
  </w:style>
  <w:style w:type="paragraph" w:styleId="Titolo3">
    <w:name w:val="heading 3"/>
    <w:basedOn w:val="Normale"/>
    <w:next w:val="Normale"/>
    <w:uiPriority w:val="9"/>
    <w:unhideWhenUsed/>
    <w:qFormat/>
    <w:pPr>
      <w:keepNext/>
      <w:keepLines/>
      <w:spacing w:before="280" w:after="80"/>
      <w:outlineLvl w:val="2"/>
    </w:pPr>
    <w:rPr>
      <w:b/>
      <w:sz w:val="28"/>
      <w:szCs w:val="28"/>
    </w:rPr>
  </w:style>
  <w:style w:type="paragraph" w:styleId="Titolo4">
    <w:name w:val="heading 4"/>
    <w:basedOn w:val="Normale"/>
    <w:next w:val="Normale"/>
    <w:uiPriority w:val="9"/>
    <w:semiHidden/>
    <w:unhideWhenUsed/>
    <w:qFormat/>
    <w:pPr>
      <w:keepNext/>
      <w:keepLines/>
      <w:spacing w:before="240" w:after="40"/>
      <w:outlineLvl w:val="3"/>
    </w:pPr>
    <w:rPr>
      <w:b/>
    </w:rPr>
  </w:style>
  <w:style w:type="paragraph" w:styleId="Titolo5">
    <w:name w:val="heading 5"/>
    <w:basedOn w:val="Normale"/>
    <w:next w:val="Normale"/>
    <w:uiPriority w:val="9"/>
    <w:semiHidden/>
    <w:unhideWhenUsed/>
    <w:qFormat/>
    <w:pPr>
      <w:keepNext/>
      <w:keepLines/>
      <w:spacing w:before="220" w:after="40"/>
      <w:outlineLvl w:val="4"/>
    </w:pPr>
    <w:rPr>
      <w:b/>
      <w:sz w:val="22"/>
      <w:szCs w:val="22"/>
    </w:rPr>
  </w:style>
  <w:style w:type="paragraph" w:styleId="Titolo6">
    <w:name w:val="heading 6"/>
    <w:basedOn w:val="Normale"/>
    <w:next w:val="Normale"/>
    <w:uiPriority w:val="9"/>
    <w:semiHidden/>
    <w:unhideWhenUsed/>
    <w:qFormat/>
    <w:pPr>
      <w:keepNext/>
      <w:keepLines/>
      <w:spacing w:before="200" w:after="40"/>
      <w:outlineLvl w:val="5"/>
    </w:pPr>
    <w:rPr>
      <w:b/>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olo">
    <w:name w:val="Title"/>
    <w:basedOn w:val="Normale"/>
    <w:next w:val="Normale"/>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Intestazione">
    <w:name w:val="header"/>
    <w:basedOn w:val="Normale"/>
    <w:link w:val="IntestazioneCarattere"/>
    <w:uiPriority w:val="99"/>
    <w:unhideWhenUsed/>
    <w:rsid w:val="00235C5C"/>
    <w:pPr>
      <w:tabs>
        <w:tab w:val="center" w:pos="4819"/>
        <w:tab w:val="right" w:pos="9638"/>
      </w:tabs>
    </w:pPr>
    <w:rPr>
      <w:rFonts w:asciiTheme="minorHAnsi" w:eastAsiaTheme="minorHAnsi" w:hAnsiTheme="minorHAnsi" w:cstheme="minorBidi"/>
      <w:lang w:eastAsia="en-US"/>
    </w:rPr>
  </w:style>
  <w:style w:type="character" w:customStyle="1" w:styleId="IntestazioneCarattere">
    <w:name w:val="Intestazione Carattere"/>
    <w:basedOn w:val="Carpredefinitoparagrafo"/>
    <w:link w:val="Intestazione"/>
    <w:uiPriority w:val="99"/>
    <w:rsid w:val="00235C5C"/>
  </w:style>
  <w:style w:type="paragraph" w:styleId="Pidipagina">
    <w:name w:val="footer"/>
    <w:basedOn w:val="Normale"/>
    <w:link w:val="PidipaginaCarattere"/>
    <w:uiPriority w:val="99"/>
    <w:unhideWhenUsed/>
    <w:rsid w:val="00235C5C"/>
    <w:pPr>
      <w:tabs>
        <w:tab w:val="center" w:pos="4819"/>
        <w:tab w:val="right" w:pos="9638"/>
      </w:tabs>
    </w:pPr>
    <w:rPr>
      <w:rFonts w:asciiTheme="minorHAnsi" w:eastAsiaTheme="minorHAnsi" w:hAnsiTheme="minorHAnsi" w:cstheme="minorBidi"/>
      <w:lang w:eastAsia="en-US"/>
    </w:rPr>
  </w:style>
  <w:style w:type="character" w:customStyle="1" w:styleId="PidipaginaCarattere">
    <w:name w:val="Piè di pagina Carattere"/>
    <w:basedOn w:val="Carpredefinitoparagrafo"/>
    <w:link w:val="Pidipagina"/>
    <w:uiPriority w:val="99"/>
    <w:rsid w:val="00235C5C"/>
  </w:style>
  <w:style w:type="paragraph" w:styleId="Paragrafoelenco">
    <w:name w:val="List Paragraph"/>
    <w:basedOn w:val="Normale"/>
    <w:uiPriority w:val="34"/>
    <w:qFormat/>
    <w:rsid w:val="00235C5C"/>
    <w:pPr>
      <w:ind w:left="720"/>
      <w:contextualSpacing/>
    </w:pPr>
    <w:rPr>
      <w:rFonts w:asciiTheme="minorHAnsi" w:eastAsiaTheme="minorHAnsi" w:hAnsiTheme="minorHAnsi" w:cstheme="minorBidi"/>
      <w:lang w:eastAsia="en-US"/>
    </w:rPr>
  </w:style>
  <w:style w:type="character" w:styleId="Collegamentoipertestuale">
    <w:name w:val="Hyperlink"/>
    <w:basedOn w:val="Carpredefinitoparagrafo"/>
    <w:uiPriority w:val="99"/>
    <w:unhideWhenUsed/>
    <w:rsid w:val="00E1637B"/>
    <w:rPr>
      <w:color w:val="0563C1" w:themeColor="hyperlink"/>
      <w:u w:val="single"/>
    </w:rPr>
  </w:style>
  <w:style w:type="paragraph" w:customStyle="1" w:styleId="xmsonormal">
    <w:name w:val="x_msonormal"/>
    <w:basedOn w:val="Normale"/>
    <w:rsid w:val="00B30E6A"/>
    <w:pPr>
      <w:spacing w:before="100" w:beforeAutospacing="1" w:after="100" w:afterAutospacing="1"/>
    </w:pPr>
  </w:style>
  <w:style w:type="character" w:customStyle="1" w:styleId="apple-converted-space">
    <w:name w:val="apple-converted-space"/>
    <w:basedOn w:val="Carpredefinitoparagrafo"/>
    <w:rsid w:val="00D25DEF"/>
  </w:style>
  <w:style w:type="character" w:styleId="Enfasigrassetto">
    <w:name w:val="Strong"/>
    <w:basedOn w:val="Carpredefinitoparagrafo"/>
    <w:uiPriority w:val="22"/>
    <w:qFormat/>
    <w:rsid w:val="00D25DEF"/>
    <w:rPr>
      <w:b/>
      <w:bCs/>
    </w:rPr>
  </w:style>
  <w:style w:type="paragraph" w:styleId="NormaleWeb">
    <w:name w:val="Normal (Web)"/>
    <w:basedOn w:val="Normale"/>
    <w:uiPriority w:val="99"/>
    <w:unhideWhenUsed/>
    <w:rsid w:val="00ED5539"/>
    <w:pPr>
      <w:spacing w:before="100" w:beforeAutospacing="1" w:after="100" w:afterAutospacing="1"/>
    </w:pPr>
    <w:rPr>
      <w:rFonts w:ascii="Times" w:eastAsiaTheme="minorHAnsi" w:hAnsi="Times"/>
      <w:sz w:val="20"/>
      <w:szCs w:val="20"/>
    </w:rPr>
  </w:style>
  <w:style w:type="paragraph" w:styleId="Revisione">
    <w:name w:val="Revision"/>
    <w:hidden/>
    <w:uiPriority w:val="99"/>
    <w:semiHidden/>
    <w:rsid w:val="00264D18"/>
  </w:style>
  <w:style w:type="table" w:styleId="Grigliatabella">
    <w:name w:val="Table Grid"/>
    <w:basedOn w:val="Tabellanormale"/>
    <w:uiPriority w:val="39"/>
    <w:rsid w:val="00121A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zionenonrisolta">
    <w:name w:val="Unresolved Mention"/>
    <w:basedOn w:val="Carpredefinitoparagrafo"/>
    <w:uiPriority w:val="99"/>
    <w:semiHidden/>
    <w:unhideWhenUsed/>
    <w:rsid w:val="00B2571C"/>
    <w:rPr>
      <w:color w:val="605E5C"/>
      <w:shd w:val="clear" w:color="auto" w:fill="E1DFDD"/>
    </w:rPr>
  </w:style>
  <w:style w:type="paragraph" w:styleId="Sottotitolo">
    <w:name w:val="Subtitle"/>
    <w:basedOn w:val="Normale"/>
    <w:next w:val="Normale"/>
    <w:uiPriority w:val="11"/>
    <w:qFormat/>
    <w:pPr>
      <w:keepNext/>
      <w:keepLines/>
      <w:spacing w:before="360" w:after="80"/>
    </w:pPr>
    <w:rPr>
      <w:rFonts w:ascii="Georgia" w:eastAsia="Georgia" w:hAnsi="Georgia" w:cs="Georgia"/>
      <w:i/>
      <w:color w:val="666666"/>
      <w:sz w:val="48"/>
      <w:szCs w:val="48"/>
    </w:rPr>
  </w:style>
  <w:style w:type="character" w:styleId="Collegamentovisitato">
    <w:name w:val="FollowedHyperlink"/>
    <w:basedOn w:val="Carpredefinitoparagrafo"/>
    <w:uiPriority w:val="99"/>
    <w:semiHidden/>
    <w:unhideWhenUsed/>
    <w:rsid w:val="00DC3B91"/>
    <w:rPr>
      <w:color w:val="954F72" w:themeColor="followedHyperlink"/>
      <w:u w:val="single"/>
    </w:rPr>
  </w:style>
  <w:style w:type="character" w:styleId="Rimandocommento">
    <w:name w:val="annotation reference"/>
    <w:basedOn w:val="Carpredefinitoparagrafo"/>
    <w:uiPriority w:val="99"/>
    <w:semiHidden/>
    <w:unhideWhenUsed/>
    <w:rsid w:val="00491F41"/>
    <w:rPr>
      <w:sz w:val="16"/>
      <w:szCs w:val="16"/>
    </w:rPr>
  </w:style>
  <w:style w:type="paragraph" w:styleId="Testocommento">
    <w:name w:val="annotation text"/>
    <w:basedOn w:val="Normale"/>
    <w:link w:val="TestocommentoCarattere"/>
    <w:uiPriority w:val="99"/>
    <w:unhideWhenUsed/>
    <w:rsid w:val="00491F41"/>
    <w:rPr>
      <w:sz w:val="20"/>
      <w:szCs w:val="20"/>
    </w:rPr>
  </w:style>
  <w:style w:type="character" w:customStyle="1" w:styleId="TestocommentoCarattere">
    <w:name w:val="Testo commento Carattere"/>
    <w:basedOn w:val="Carpredefinitoparagrafo"/>
    <w:link w:val="Testocommento"/>
    <w:uiPriority w:val="99"/>
    <w:rsid w:val="00491F41"/>
    <w:rPr>
      <w:sz w:val="20"/>
      <w:szCs w:val="20"/>
    </w:rPr>
  </w:style>
  <w:style w:type="paragraph" w:styleId="Soggettocommento">
    <w:name w:val="annotation subject"/>
    <w:basedOn w:val="Testocommento"/>
    <w:next w:val="Testocommento"/>
    <w:link w:val="SoggettocommentoCarattere"/>
    <w:uiPriority w:val="99"/>
    <w:semiHidden/>
    <w:unhideWhenUsed/>
    <w:rsid w:val="00491F41"/>
    <w:rPr>
      <w:b/>
      <w:bCs/>
    </w:rPr>
  </w:style>
  <w:style w:type="character" w:customStyle="1" w:styleId="SoggettocommentoCarattere">
    <w:name w:val="Soggetto commento Carattere"/>
    <w:basedOn w:val="TestocommentoCarattere"/>
    <w:link w:val="Soggettocommento"/>
    <w:uiPriority w:val="99"/>
    <w:semiHidden/>
    <w:rsid w:val="00491F41"/>
    <w:rPr>
      <w:b/>
      <w:bCs/>
      <w:sz w:val="20"/>
      <w:szCs w:val="20"/>
    </w:rPr>
  </w:style>
  <w:style w:type="paragraph" w:styleId="Testofumetto">
    <w:name w:val="Balloon Text"/>
    <w:basedOn w:val="Normale"/>
    <w:link w:val="TestofumettoCarattere"/>
    <w:uiPriority w:val="99"/>
    <w:semiHidden/>
    <w:unhideWhenUsed/>
    <w:rsid w:val="005B42D2"/>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5B42D2"/>
    <w:rPr>
      <w:rFonts w:ascii="Segoe UI" w:hAnsi="Segoe UI" w:cs="Segoe UI"/>
      <w:sz w:val="18"/>
      <w:szCs w:val="18"/>
    </w:rPr>
  </w:style>
  <w:style w:type="character" w:customStyle="1" w:styleId="il">
    <w:name w:val="il"/>
    <w:basedOn w:val="Carpredefinitoparagrafo"/>
    <w:rsid w:val="008E76CB"/>
  </w:style>
  <w:style w:type="character" w:styleId="Enfasicorsivo">
    <w:name w:val="Emphasis"/>
    <w:basedOn w:val="Carpredefinitoparagrafo"/>
    <w:uiPriority w:val="20"/>
    <w:qFormat/>
    <w:rsid w:val="00A9550F"/>
    <w:rPr>
      <w:i/>
      <w:iCs/>
    </w:rPr>
  </w:style>
  <w:style w:type="character" w:customStyle="1" w:styleId="whitespace-normal">
    <w:name w:val="whitespace-normal"/>
    <w:basedOn w:val="Carpredefinitoparagrafo"/>
    <w:rsid w:val="00F226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589501">
      <w:bodyDiv w:val="1"/>
      <w:marLeft w:val="0"/>
      <w:marRight w:val="0"/>
      <w:marTop w:val="0"/>
      <w:marBottom w:val="0"/>
      <w:divBdr>
        <w:top w:val="none" w:sz="0" w:space="0" w:color="auto"/>
        <w:left w:val="none" w:sz="0" w:space="0" w:color="auto"/>
        <w:bottom w:val="none" w:sz="0" w:space="0" w:color="auto"/>
        <w:right w:val="none" w:sz="0" w:space="0" w:color="auto"/>
      </w:divBdr>
      <w:divsChild>
        <w:div w:id="2096125604">
          <w:marLeft w:val="0"/>
          <w:marRight w:val="0"/>
          <w:marTop w:val="0"/>
          <w:marBottom w:val="0"/>
          <w:divBdr>
            <w:top w:val="none" w:sz="0" w:space="0" w:color="auto"/>
            <w:left w:val="none" w:sz="0" w:space="0" w:color="auto"/>
            <w:bottom w:val="none" w:sz="0" w:space="0" w:color="auto"/>
            <w:right w:val="none" w:sz="0" w:space="0" w:color="auto"/>
          </w:divBdr>
          <w:divsChild>
            <w:div w:id="1042289458">
              <w:marLeft w:val="0"/>
              <w:marRight w:val="0"/>
              <w:marTop w:val="0"/>
              <w:marBottom w:val="0"/>
              <w:divBdr>
                <w:top w:val="none" w:sz="0" w:space="0" w:color="auto"/>
                <w:left w:val="none" w:sz="0" w:space="0" w:color="auto"/>
                <w:bottom w:val="none" w:sz="0" w:space="0" w:color="auto"/>
                <w:right w:val="none" w:sz="0" w:space="0" w:color="auto"/>
              </w:divBdr>
              <w:divsChild>
                <w:div w:id="974599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905226">
      <w:bodyDiv w:val="1"/>
      <w:marLeft w:val="0"/>
      <w:marRight w:val="0"/>
      <w:marTop w:val="0"/>
      <w:marBottom w:val="0"/>
      <w:divBdr>
        <w:top w:val="none" w:sz="0" w:space="0" w:color="auto"/>
        <w:left w:val="none" w:sz="0" w:space="0" w:color="auto"/>
        <w:bottom w:val="none" w:sz="0" w:space="0" w:color="auto"/>
        <w:right w:val="none" w:sz="0" w:space="0" w:color="auto"/>
      </w:divBdr>
    </w:div>
    <w:div w:id="86537031">
      <w:bodyDiv w:val="1"/>
      <w:marLeft w:val="0"/>
      <w:marRight w:val="0"/>
      <w:marTop w:val="0"/>
      <w:marBottom w:val="0"/>
      <w:divBdr>
        <w:top w:val="none" w:sz="0" w:space="0" w:color="auto"/>
        <w:left w:val="none" w:sz="0" w:space="0" w:color="auto"/>
        <w:bottom w:val="none" w:sz="0" w:space="0" w:color="auto"/>
        <w:right w:val="none" w:sz="0" w:space="0" w:color="auto"/>
      </w:divBdr>
      <w:divsChild>
        <w:div w:id="2051833462">
          <w:marLeft w:val="0"/>
          <w:marRight w:val="0"/>
          <w:marTop w:val="0"/>
          <w:marBottom w:val="0"/>
          <w:divBdr>
            <w:top w:val="none" w:sz="0" w:space="0" w:color="auto"/>
            <w:left w:val="none" w:sz="0" w:space="0" w:color="auto"/>
            <w:bottom w:val="none" w:sz="0" w:space="0" w:color="auto"/>
            <w:right w:val="none" w:sz="0" w:space="0" w:color="auto"/>
          </w:divBdr>
        </w:div>
        <w:div w:id="608313980">
          <w:marLeft w:val="0"/>
          <w:marRight w:val="0"/>
          <w:marTop w:val="0"/>
          <w:marBottom w:val="0"/>
          <w:divBdr>
            <w:top w:val="none" w:sz="0" w:space="0" w:color="auto"/>
            <w:left w:val="none" w:sz="0" w:space="0" w:color="auto"/>
            <w:bottom w:val="none" w:sz="0" w:space="0" w:color="auto"/>
            <w:right w:val="none" w:sz="0" w:space="0" w:color="auto"/>
          </w:divBdr>
        </w:div>
        <w:div w:id="272442674">
          <w:marLeft w:val="0"/>
          <w:marRight w:val="0"/>
          <w:marTop w:val="0"/>
          <w:marBottom w:val="0"/>
          <w:divBdr>
            <w:top w:val="none" w:sz="0" w:space="0" w:color="auto"/>
            <w:left w:val="none" w:sz="0" w:space="0" w:color="auto"/>
            <w:bottom w:val="none" w:sz="0" w:space="0" w:color="auto"/>
            <w:right w:val="none" w:sz="0" w:space="0" w:color="auto"/>
          </w:divBdr>
        </w:div>
        <w:div w:id="161164571">
          <w:marLeft w:val="0"/>
          <w:marRight w:val="0"/>
          <w:marTop w:val="0"/>
          <w:marBottom w:val="0"/>
          <w:divBdr>
            <w:top w:val="none" w:sz="0" w:space="0" w:color="auto"/>
            <w:left w:val="none" w:sz="0" w:space="0" w:color="auto"/>
            <w:bottom w:val="none" w:sz="0" w:space="0" w:color="auto"/>
            <w:right w:val="none" w:sz="0" w:space="0" w:color="auto"/>
          </w:divBdr>
        </w:div>
        <w:div w:id="1758820485">
          <w:marLeft w:val="0"/>
          <w:marRight w:val="0"/>
          <w:marTop w:val="0"/>
          <w:marBottom w:val="0"/>
          <w:divBdr>
            <w:top w:val="none" w:sz="0" w:space="0" w:color="auto"/>
            <w:left w:val="none" w:sz="0" w:space="0" w:color="auto"/>
            <w:bottom w:val="none" w:sz="0" w:space="0" w:color="auto"/>
            <w:right w:val="none" w:sz="0" w:space="0" w:color="auto"/>
          </w:divBdr>
        </w:div>
        <w:div w:id="937256020">
          <w:marLeft w:val="0"/>
          <w:marRight w:val="0"/>
          <w:marTop w:val="0"/>
          <w:marBottom w:val="0"/>
          <w:divBdr>
            <w:top w:val="none" w:sz="0" w:space="0" w:color="auto"/>
            <w:left w:val="none" w:sz="0" w:space="0" w:color="auto"/>
            <w:bottom w:val="none" w:sz="0" w:space="0" w:color="auto"/>
            <w:right w:val="none" w:sz="0" w:space="0" w:color="auto"/>
          </w:divBdr>
        </w:div>
        <w:div w:id="300382299">
          <w:marLeft w:val="0"/>
          <w:marRight w:val="0"/>
          <w:marTop w:val="0"/>
          <w:marBottom w:val="0"/>
          <w:divBdr>
            <w:top w:val="none" w:sz="0" w:space="0" w:color="auto"/>
            <w:left w:val="none" w:sz="0" w:space="0" w:color="auto"/>
            <w:bottom w:val="none" w:sz="0" w:space="0" w:color="auto"/>
            <w:right w:val="none" w:sz="0" w:space="0" w:color="auto"/>
          </w:divBdr>
        </w:div>
        <w:div w:id="1906262875">
          <w:marLeft w:val="0"/>
          <w:marRight w:val="0"/>
          <w:marTop w:val="0"/>
          <w:marBottom w:val="0"/>
          <w:divBdr>
            <w:top w:val="none" w:sz="0" w:space="0" w:color="auto"/>
            <w:left w:val="none" w:sz="0" w:space="0" w:color="auto"/>
            <w:bottom w:val="none" w:sz="0" w:space="0" w:color="auto"/>
            <w:right w:val="none" w:sz="0" w:space="0" w:color="auto"/>
          </w:divBdr>
        </w:div>
      </w:divsChild>
    </w:div>
    <w:div w:id="123280265">
      <w:bodyDiv w:val="1"/>
      <w:marLeft w:val="0"/>
      <w:marRight w:val="0"/>
      <w:marTop w:val="0"/>
      <w:marBottom w:val="0"/>
      <w:divBdr>
        <w:top w:val="none" w:sz="0" w:space="0" w:color="auto"/>
        <w:left w:val="none" w:sz="0" w:space="0" w:color="auto"/>
        <w:bottom w:val="none" w:sz="0" w:space="0" w:color="auto"/>
        <w:right w:val="none" w:sz="0" w:space="0" w:color="auto"/>
      </w:divBdr>
    </w:div>
    <w:div w:id="136265809">
      <w:bodyDiv w:val="1"/>
      <w:marLeft w:val="0"/>
      <w:marRight w:val="0"/>
      <w:marTop w:val="0"/>
      <w:marBottom w:val="0"/>
      <w:divBdr>
        <w:top w:val="none" w:sz="0" w:space="0" w:color="auto"/>
        <w:left w:val="none" w:sz="0" w:space="0" w:color="auto"/>
        <w:bottom w:val="none" w:sz="0" w:space="0" w:color="auto"/>
        <w:right w:val="none" w:sz="0" w:space="0" w:color="auto"/>
      </w:divBdr>
      <w:divsChild>
        <w:div w:id="1768112950">
          <w:blockQuote w:val="1"/>
          <w:marLeft w:val="720"/>
          <w:marRight w:val="720"/>
          <w:marTop w:val="100"/>
          <w:marBottom w:val="100"/>
          <w:divBdr>
            <w:top w:val="none" w:sz="0" w:space="0" w:color="auto"/>
            <w:left w:val="none" w:sz="0" w:space="0" w:color="auto"/>
            <w:bottom w:val="none" w:sz="0" w:space="0" w:color="auto"/>
            <w:right w:val="none" w:sz="0" w:space="0" w:color="auto"/>
          </w:divBdr>
        </w:div>
        <w:div w:id="135071816">
          <w:blockQuote w:val="1"/>
          <w:marLeft w:val="720"/>
          <w:marRight w:val="720"/>
          <w:marTop w:val="100"/>
          <w:marBottom w:val="100"/>
          <w:divBdr>
            <w:top w:val="none" w:sz="0" w:space="0" w:color="auto"/>
            <w:left w:val="none" w:sz="0" w:space="0" w:color="auto"/>
            <w:bottom w:val="none" w:sz="0" w:space="0" w:color="auto"/>
            <w:right w:val="none" w:sz="0" w:space="0" w:color="auto"/>
          </w:divBdr>
        </w:div>
        <w:div w:id="1113357953">
          <w:blockQuote w:val="1"/>
          <w:marLeft w:val="720"/>
          <w:marRight w:val="720"/>
          <w:marTop w:val="100"/>
          <w:marBottom w:val="100"/>
          <w:divBdr>
            <w:top w:val="none" w:sz="0" w:space="0" w:color="auto"/>
            <w:left w:val="none" w:sz="0" w:space="0" w:color="auto"/>
            <w:bottom w:val="none" w:sz="0" w:space="0" w:color="auto"/>
            <w:right w:val="none" w:sz="0" w:space="0" w:color="auto"/>
          </w:divBdr>
        </w:div>
        <w:div w:id="11527184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5920509">
      <w:bodyDiv w:val="1"/>
      <w:marLeft w:val="0"/>
      <w:marRight w:val="0"/>
      <w:marTop w:val="0"/>
      <w:marBottom w:val="0"/>
      <w:divBdr>
        <w:top w:val="none" w:sz="0" w:space="0" w:color="auto"/>
        <w:left w:val="none" w:sz="0" w:space="0" w:color="auto"/>
        <w:bottom w:val="none" w:sz="0" w:space="0" w:color="auto"/>
        <w:right w:val="none" w:sz="0" w:space="0" w:color="auto"/>
      </w:divBdr>
    </w:div>
    <w:div w:id="197738652">
      <w:bodyDiv w:val="1"/>
      <w:marLeft w:val="0"/>
      <w:marRight w:val="0"/>
      <w:marTop w:val="0"/>
      <w:marBottom w:val="0"/>
      <w:divBdr>
        <w:top w:val="none" w:sz="0" w:space="0" w:color="auto"/>
        <w:left w:val="none" w:sz="0" w:space="0" w:color="auto"/>
        <w:bottom w:val="none" w:sz="0" w:space="0" w:color="auto"/>
        <w:right w:val="none" w:sz="0" w:space="0" w:color="auto"/>
      </w:divBdr>
    </w:div>
    <w:div w:id="236090837">
      <w:bodyDiv w:val="1"/>
      <w:marLeft w:val="0"/>
      <w:marRight w:val="0"/>
      <w:marTop w:val="0"/>
      <w:marBottom w:val="0"/>
      <w:divBdr>
        <w:top w:val="none" w:sz="0" w:space="0" w:color="auto"/>
        <w:left w:val="none" w:sz="0" w:space="0" w:color="auto"/>
        <w:bottom w:val="none" w:sz="0" w:space="0" w:color="auto"/>
        <w:right w:val="none" w:sz="0" w:space="0" w:color="auto"/>
      </w:divBdr>
    </w:div>
    <w:div w:id="272060729">
      <w:bodyDiv w:val="1"/>
      <w:marLeft w:val="0"/>
      <w:marRight w:val="0"/>
      <w:marTop w:val="0"/>
      <w:marBottom w:val="0"/>
      <w:divBdr>
        <w:top w:val="none" w:sz="0" w:space="0" w:color="auto"/>
        <w:left w:val="none" w:sz="0" w:space="0" w:color="auto"/>
        <w:bottom w:val="none" w:sz="0" w:space="0" w:color="auto"/>
        <w:right w:val="none" w:sz="0" w:space="0" w:color="auto"/>
      </w:divBdr>
    </w:div>
    <w:div w:id="335966542">
      <w:bodyDiv w:val="1"/>
      <w:marLeft w:val="0"/>
      <w:marRight w:val="0"/>
      <w:marTop w:val="0"/>
      <w:marBottom w:val="0"/>
      <w:divBdr>
        <w:top w:val="none" w:sz="0" w:space="0" w:color="auto"/>
        <w:left w:val="none" w:sz="0" w:space="0" w:color="auto"/>
        <w:bottom w:val="none" w:sz="0" w:space="0" w:color="auto"/>
        <w:right w:val="none" w:sz="0" w:space="0" w:color="auto"/>
      </w:divBdr>
    </w:div>
    <w:div w:id="414009958">
      <w:bodyDiv w:val="1"/>
      <w:marLeft w:val="0"/>
      <w:marRight w:val="0"/>
      <w:marTop w:val="0"/>
      <w:marBottom w:val="0"/>
      <w:divBdr>
        <w:top w:val="none" w:sz="0" w:space="0" w:color="auto"/>
        <w:left w:val="none" w:sz="0" w:space="0" w:color="auto"/>
        <w:bottom w:val="none" w:sz="0" w:space="0" w:color="auto"/>
        <w:right w:val="none" w:sz="0" w:space="0" w:color="auto"/>
      </w:divBdr>
    </w:div>
    <w:div w:id="446048320">
      <w:bodyDiv w:val="1"/>
      <w:marLeft w:val="0"/>
      <w:marRight w:val="0"/>
      <w:marTop w:val="0"/>
      <w:marBottom w:val="0"/>
      <w:divBdr>
        <w:top w:val="none" w:sz="0" w:space="0" w:color="auto"/>
        <w:left w:val="none" w:sz="0" w:space="0" w:color="auto"/>
        <w:bottom w:val="none" w:sz="0" w:space="0" w:color="auto"/>
        <w:right w:val="none" w:sz="0" w:space="0" w:color="auto"/>
      </w:divBdr>
    </w:div>
    <w:div w:id="499737048">
      <w:bodyDiv w:val="1"/>
      <w:marLeft w:val="0"/>
      <w:marRight w:val="0"/>
      <w:marTop w:val="0"/>
      <w:marBottom w:val="0"/>
      <w:divBdr>
        <w:top w:val="none" w:sz="0" w:space="0" w:color="auto"/>
        <w:left w:val="none" w:sz="0" w:space="0" w:color="auto"/>
        <w:bottom w:val="none" w:sz="0" w:space="0" w:color="auto"/>
        <w:right w:val="none" w:sz="0" w:space="0" w:color="auto"/>
      </w:divBdr>
    </w:div>
    <w:div w:id="577593557">
      <w:bodyDiv w:val="1"/>
      <w:marLeft w:val="0"/>
      <w:marRight w:val="0"/>
      <w:marTop w:val="0"/>
      <w:marBottom w:val="0"/>
      <w:divBdr>
        <w:top w:val="none" w:sz="0" w:space="0" w:color="auto"/>
        <w:left w:val="none" w:sz="0" w:space="0" w:color="auto"/>
        <w:bottom w:val="none" w:sz="0" w:space="0" w:color="auto"/>
        <w:right w:val="none" w:sz="0" w:space="0" w:color="auto"/>
      </w:divBdr>
    </w:div>
    <w:div w:id="600915882">
      <w:bodyDiv w:val="1"/>
      <w:marLeft w:val="0"/>
      <w:marRight w:val="0"/>
      <w:marTop w:val="0"/>
      <w:marBottom w:val="0"/>
      <w:divBdr>
        <w:top w:val="none" w:sz="0" w:space="0" w:color="auto"/>
        <w:left w:val="none" w:sz="0" w:space="0" w:color="auto"/>
        <w:bottom w:val="none" w:sz="0" w:space="0" w:color="auto"/>
        <w:right w:val="none" w:sz="0" w:space="0" w:color="auto"/>
      </w:divBdr>
    </w:div>
    <w:div w:id="605772335">
      <w:bodyDiv w:val="1"/>
      <w:marLeft w:val="0"/>
      <w:marRight w:val="0"/>
      <w:marTop w:val="0"/>
      <w:marBottom w:val="0"/>
      <w:divBdr>
        <w:top w:val="none" w:sz="0" w:space="0" w:color="auto"/>
        <w:left w:val="none" w:sz="0" w:space="0" w:color="auto"/>
        <w:bottom w:val="none" w:sz="0" w:space="0" w:color="auto"/>
        <w:right w:val="none" w:sz="0" w:space="0" w:color="auto"/>
      </w:divBdr>
    </w:div>
    <w:div w:id="617487004">
      <w:bodyDiv w:val="1"/>
      <w:marLeft w:val="0"/>
      <w:marRight w:val="0"/>
      <w:marTop w:val="0"/>
      <w:marBottom w:val="0"/>
      <w:divBdr>
        <w:top w:val="none" w:sz="0" w:space="0" w:color="auto"/>
        <w:left w:val="none" w:sz="0" w:space="0" w:color="auto"/>
        <w:bottom w:val="none" w:sz="0" w:space="0" w:color="auto"/>
        <w:right w:val="none" w:sz="0" w:space="0" w:color="auto"/>
      </w:divBdr>
    </w:div>
    <w:div w:id="646862891">
      <w:bodyDiv w:val="1"/>
      <w:marLeft w:val="0"/>
      <w:marRight w:val="0"/>
      <w:marTop w:val="0"/>
      <w:marBottom w:val="0"/>
      <w:divBdr>
        <w:top w:val="none" w:sz="0" w:space="0" w:color="auto"/>
        <w:left w:val="none" w:sz="0" w:space="0" w:color="auto"/>
        <w:bottom w:val="none" w:sz="0" w:space="0" w:color="auto"/>
        <w:right w:val="none" w:sz="0" w:space="0" w:color="auto"/>
      </w:divBdr>
    </w:div>
    <w:div w:id="701714428">
      <w:bodyDiv w:val="1"/>
      <w:marLeft w:val="0"/>
      <w:marRight w:val="0"/>
      <w:marTop w:val="0"/>
      <w:marBottom w:val="0"/>
      <w:divBdr>
        <w:top w:val="none" w:sz="0" w:space="0" w:color="auto"/>
        <w:left w:val="none" w:sz="0" w:space="0" w:color="auto"/>
        <w:bottom w:val="none" w:sz="0" w:space="0" w:color="auto"/>
        <w:right w:val="none" w:sz="0" w:space="0" w:color="auto"/>
      </w:divBdr>
    </w:div>
    <w:div w:id="708457377">
      <w:bodyDiv w:val="1"/>
      <w:marLeft w:val="0"/>
      <w:marRight w:val="0"/>
      <w:marTop w:val="0"/>
      <w:marBottom w:val="0"/>
      <w:divBdr>
        <w:top w:val="none" w:sz="0" w:space="0" w:color="auto"/>
        <w:left w:val="none" w:sz="0" w:space="0" w:color="auto"/>
        <w:bottom w:val="none" w:sz="0" w:space="0" w:color="auto"/>
        <w:right w:val="none" w:sz="0" w:space="0" w:color="auto"/>
      </w:divBdr>
    </w:div>
    <w:div w:id="740785360">
      <w:bodyDiv w:val="1"/>
      <w:marLeft w:val="0"/>
      <w:marRight w:val="0"/>
      <w:marTop w:val="0"/>
      <w:marBottom w:val="0"/>
      <w:divBdr>
        <w:top w:val="none" w:sz="0" w:space="0" w:color="auto"/>
        <w:left w:val="none" w:sz="0" w:space="0" w:color="auto"/>
        <w:bottom w:val="none" w:sz="0" w:space="0" w:color="auto"/>
        <w:right w:val="none" w:sz="0" w:space="0" w:color="auto"/>
      </w:divBdr>
    </w:div>
    <w:div w:id="748112124">
      <w:bodyDiv w:val="1"/>
      <w:marLeft w:val="0"/>
      <w:marRight w:val="0"/>
      <w:marTop w:val="0"/>
      <w:marBottom w:val="0"/>
      <w:divBdr>
        <w:top w:val="none" w:sz="0" w:space="0" w:color="auto"/>
        <w:left w:val="none" w:sz="0" w:space="0" w:color="auto"/>
        <w:bottom w:val="none" w:sz="0" w:space="0" w:color="auto"/>
        <w:right w:val="none" w:sz="0" w:space="0" w:color="auto"/>
      </w:divBdr>
    </w:div>
    <w:div w:id="804810833">
      <w:bodyDiv w:val="1"/>
      <w:marLeft w:val="0"/>
      <w:marRight w:val="0"/>
      <w:marTop w:val="0"/>
      <w:marBottom w:val="0"/>
      <w:divBdr>
        <w:top w:val="none" w:sz="0" w:space="0" w:color="auto"/>
        <w:left w:val="none" w:sz="0" w:space="0" w:color="auto"/>
        <w:bottom w:val="none" w:sz="0" w:space="0" w:color="auto"/>
        <w:right w:val="none" w:sz="0" w:space="0" w:color="auto"/>
      </w:divBdr>
    </w:div>
    <w:div w:id="814764974">
      <w:bodyDiv w:val="1"/>
      <w:marLeft w:val="0"/>
      <w:marRight w:val="0"/>
      <w:marTop w:val="0"/>
      <w:marBottom w:val="0"/>
      <w:divBdr>
        <w:top w:val="none" w:sz="0" w:space="0" w:color="auto"/>
        <w:left w:val="none" w:sz="0" w:space="0" w:color="auto"/>
        <w:bottom w:val="none" w:sz="0" w:space="0" w:color="auto"/>
        <w:right w:val="none" w:sz="0" w:space="0" w:color="auto"/>
      </w:divBdr>
    </w:div>
    <w:div w:id="835995884">
      <w:bodyDiv w:val="1"/>
      <w:marLeft w:val="0"/>
      <w:marRight w:val="0"/>
      <w:marTop w:val="0"/>
      <w:marBottom w:val="0"/>
      <w:divBdr>
        <w:top w:val="none" w:sz="0" w:space="0" w:color="auto"/>
        <w:left w:val="none" w:sz="0" w:space="0" w:color="auto"/>
        <w:bottom w:val="none" w:sz="0" w:space="0" w:color="auto"/>
        <w:right w:val="none" w:sz="0" w:space="0" w:color="auto"/>
      </w:divBdr>
    </w:div>
    <w:div w:id="851142714">
      <w:bodyDiv w:val="1"/>
      <w:marLeft w:val="0"/>
      <w:marRight w:val="0"/>
      <w:marTop w:val="0"/>
      <w:marBottom w:val="0"/>
      <w:divBdr>
        <w:top w:val="none" w:sz="0" w:space="0" w:color="auto"/>
        <w:left w:val="none" w:sz="0" w:space="0" w:color="auto"/>
        <w:bottom w:val="none" w:sz="0" w:space="0" w:color="auto"/>
        <w:right w:val="none" w:sz="0" w:space="0" w:color="auto"/>
      </w:divBdr>
      <w:divsChild>
        <w:div w:id="1124814621">
          <w:marLeft w:val="0"/>
          <w:marRight w:val="0"/>
          <w:marTop w:val="0"/>
          <w:marBottom w:val="0"/>
          <w:divBdr>
            <w:top w:val="none" w:sz="0" w:space="0" w:color="auto"/>
            <w:left w:val="none" w:sz="0" w:space="0" w:color="auto"/>
            <w:bottom w:val="none" w:sz="0" w:space="0" w:color="auto"/>
            <w:right w:val="none" w:sz="0" w:space="0" w:color="auto"/>
          </w:divBdr>
        </w:div>
        <w:div w:id="456222965">
          <w:marLeft w:val="0"/>
          <w:marRight w:val="0"/>
          <w:marTop w:val="0"/>
          <w:marBottom w:val="0"/>
          <w:divBdr>
            <w:top w:val="none" w:sz="0" w:space="0" w:color="auto"/>
            <w:left w:val="none" w:sz="0" w:space="0" w:color="auto"/>
            <w:bottom w:val="none" w:sz="0" w:space="0" w:color="auto"/>
            <w:right w:val="none" w:sz="0" w:space="0" w:color="auto"/>
          </w:divBdr>
        </w:div>
        <w:div w:id="731079531">
          <w:marLeft w:val="0"/>
          <w:marRight w:val="0"/>
          <w:marTop w:val="0"/>
          <w:marBottom w:val="0"/>
          <w:divBdr>
            <w:top w:val="none" w:sz="0" w:space="0" w:color="auto"/>
            <w:left w:val="none" w:sz="0" w:space="0" w:color="auto"/>
            <w:bottom w:val="none" w:sz="0" w:space="0" w:color="auto"/>
            <w:right w:val="none" w:sz="0" w:space="0" w:color="auto"/>
          </w:divBdr>
        </w:div>
      </w:divsChild>
    </w:div>
    <w:div w:id="876622713">
      <w:bodyDiv w:val="1"/>
      <w:marLeft w:val="0"/>
      <w:marRight w:val="0"/>
      <w:marTop w:val="0"/>
      <w:marBottom w:val="0"/>
      <w:divBdr>
        <w:top w:val="none" w:sz="0" w:space="0" w:color="auto"/>
        <w:left w:val="none" w:sz="0" w:space="0" w:color="auto"/>
        <w:bottom w:val="none" w:sz="0" w:space="0" w:color="auto"/>
        <w:right w:val="none" w:sz="0" w:space="0" w:color="auto"/>
      </w:divBdr>
    </w:div>
    <w:div w:id="913508170">
      <w:bodyDiv w:val="1"/>
      <w:marLeft w:val="0"/>
      <w:marRight w:val="0"/>
      <w:marTop w:val="0"/>
      <w:marBottom w:val="0"/>
      <w:divBdr>
        <w:top w:val="none" w:sz="0" w:space="0" w:color="auto"/>
        <w:left w:val="none" w:sz="0" w:space="0" w:color="auto"/>
        <w:bottom w:val="none" w:sz="0" w:space="0" w:color="auto"/>
        <w:right w:val="none" w:sz="0" w:space="0" w:color="auto"/>
      </w:divBdr>
    </w:div>
    <w:div w:id="945965829">
      <w:bodyDiv w:val="1"/>
      <w:marLeft w:val="0"/>
      <w:marRight w:val="0"/>
      <w:marTop w:val="0"/>
      <w:marBottom w:val="0"/>
      <w:divBdr>
        <w:top w:val="none" w:sz="0" w:space="0" w:color="auto"/>
        <w:left w:val="none" w:sz="0" w:space="0" w:color="auto"/>
        <w:bottom w:val="none" w:sz="0" w:space="0" w:color="auto"/>
        <w:right w:val="none" w:sz="0" w:space="0" w:color="auto"/>
      </w:divBdr>
      <w:divsChild>
        <w:div w:id="1490171516">
          <w:marLeft w:val="0"/>
          <w:marRight w:val="0"/>
          <w:marTop w:val="0"/>
          <w:marBottom w:val="0"/>
          <w:divBdr>
            <w:top w:val="none" w:sz="0" w:space="0" w:color="auto"/>
            <w:left w:val="none" w:sz="0" w:space="0" w:color="auto"/>
            <w:bottom w:val="none" w:sz="0" w:space="0" w:color="auto"/>
            <w:right w:val="none" w:sz="0" w:space="0" w:color="auto"/>
          </w:divBdr>
        </w:div>
        <w:div w:id="1464302014">
          <w:marLeft w:val="0"/>
          <w:marRight w:val="0"/>
          <w:marTop w:val="0"/>
          <w:marBottom w:val="0"/>
          <w:divBdr>
            <w:top w:val="none" w:sz="0" w:space="0" w:color="auto"/>
            <w:left w:val="none" w:sz="0" w:space="0" w:color="auto"/>
            <w:bottom w:val="none" w:sz="0" w:space="0" w:color="auto"/>
            <w:right w:val="none" w:sz="0" w:space="0" w:color="auto"/>
          </w:divBdr>
        </w:div>
        <w:div w:id="128935733">
          <w:marLeft w:val="0"/>
          <w:marRight w:val="0"/>
          <w:marTop w:val="0"/>
          <w:marBottom w:val="0"/>
          <w:divBdr>
            <w:top w:val="none" w:sz="0" w:space="0" w:color="auto"/>
            <w:left w:val="none" w:sz="0" w:space="0" w:color="auto"/>
            <w:bottom w:val="none" w:sz="0" w:space="0" w:color="auto"/>
            <w:right w:val="none" w:sz="0" w:space="0" w:color="auto"/>
          </w:divBdr>
        </w:div>
        <w:div w:id="80030628">
          <w:marLeft w:val="0"/>
          <w:marRight w:val="0"/>
          <w:marTop w:val="0"/>
          <w:marBottom w:val="0"/>
          <w:divBdr>
            <w:top w:val="none" w:sz="0" w:space="0" w:color="auto"/>
            <w:left w:val="none" w:sz="0" w:space="0" w:color="auto"/>
            <w:bottom w:val="none" w:sz="0" w:space="0" w:color="auto"/>
            <w:right w:val="none" w:sz="0" w:space="0" w:color="auto"/>
          </w:divBdr>
        </w:div>
      </w:divsChild>
    </w:div>
    <w:div w:id="1009021372">
      <w:bodyDiv w:val="1"/>
      <w:marLeft w:val="0"/>
      <w:marRight w:val="0"/>
      <w:marTop w:val="0"/>
      <w:marBottom w:val="0"/>
      <w:divBdr>
        <w:top w:val="none" w:sz="0" w:space="0" w:color="auto"/>
        <w:left w:val="none" w:sz="0" w:space="0" w:color="auto"/>
        <w:bottom w:val="none" w:sz="0" w:space="0" w:color="auto"/>
        <w:right w:val="none" w:sz="0" w:space="0" w:color="auto"/>
      </w:divBdr>
    </w:div>
    <w:div w:id="1028750091">
      <w:bodyDiv w:val="1"/>
      <w:marLeft w:val="0"/>
      <w:marRight w:val="0"/>
      <w:marTop w:val="0"/>
      <w:marBottom w:val="0"/>
      <w:divBdr>
        <w:top w:val="none" w:sz="0" w:space="0" w:color="auto"/>
        <w:left w:val="none" w:sz="0" w:space="0" w:color="auto"/>
        <w:bottom w:val="none" w:sz="0" w:space="0" w:color="auto"/>
        <w:right w:val="none" w:sz="0" w:space="0" w:color="auto"/>
      </w:divBdr>
    </w:div>
    <w:div w:id="1166824814">
      <w:bodyDiv w:val="1"/>
      <w:marLeft w:val="0"/>
      <w:marRight w:val="0"/>
      <w:marTop w:val="0"/>
      <w:marBottom w:val="0"/>
      <w:divBdr>
        <w:top w:val="none" w:sz="0" w:space="0" w:color="auto"/>
        <w:left w:val="none" w:sz="0" w:space="0" w:color="auto"/>
        <w:bottom w:val="none" w:sz="0" w:space="0" w:color="auto"/>
        <w:right w:val="none" w:sz="0" w:space="0" w:color="auto"/>
      </w:divBdr>
    </w:div>
    <w:div w:id="1180511123">
      <w:bodyDiv w:val="1"/>
      <w:marLeft w:val="0"/>
      <w:marRight w:val="0"/>
      <w:marTop w:val="0"/>
      <w:marBottom w:val="0"/>
      <w:divBdr>
        <w:top w:val="none" w:sz="0" w:space="0" w:color="auto"/>
        <w:left w:val="none" w:sz="0" w:space="0" w:color="auto"/>
        <w:bottom w:val="none" w:sz="0" w:space="0" w:color="auto"/>
        <w:right w:val="none" w:sz="0" w:space="0" w:color="auto"/>
      </w:divBdr>
    </w:div>
    <w:div w:id="1234467345">
      <w:bodyDiv w:val="1"/>
      <w:marLeft w:val="0"/>
      <w:marRight w:val="0"/>
      <w:marTop w:val="0"/>
      <w:marBottom w:val="0"/>
      <w:divBdr>
        <w:top w:val="none" w:sz="0" w:space="0" w:color="auto"/>
        <w:left w:val="none" w:sz="0" w:space="0" w:color="auto"/>
        <w:bottom w:val="none" w:sz="0" w:space="0" w:color="auto"/>
        <w:right w:val="none" w:sz="0" w:space="0" w:color="auto"/>
      </w:divBdr>
    </w:div>
    <w:div w:id="1368064115">
      <w:bodyDiv w:val="1"/>
      <w:marLeft w:val="0"/>
      <w:marRight w:val="0"/>
      <w:marTop w:val="0"/>
      <w:marBottom w:val="0"/>
      <w:divBdr>
        <w:top w:val="none" w:sz="0" w:space="0" w:color="auto"/>
        <w:left w:val="none" w:sz="0" w:space="0" w:color="auto"/>
        <w:bottom w:val="none" w:sz="0" w:space="0" w:color="auto"/>
        <w:right w:val="none" w:sz="0" w:space="0" w:color="auto"/>
      </w:divBdr>
    </w:div>
    <w:div w:id="1371295659">
      <w:bodyDiv w:val="1"/>
      <w:marLeft w:val="0"/>
      <w:marRight w:val="0"/>
      <w:marTop w:val="0"/>
      <w:marBottom w:val="0"/>
      <w:divBdr>
        <w:top w:val="none" w:sz="0" w:space="0" w:color="auto"/>
        <w:left w:val="none" w:sz="0" w:space="0" w:color="auto"/>
        <w:bottom w:val="none" w:sz="0" w:space="0" w:color="auto"/>
        <w:right w:val="none" w:sz="0" w:space="0" w:color="auto"/>
      </w:divBdr>
    </w:div>
    <w:div w:id="1383825001">
      <w:bodyDiv w:val="1"/>
      <w:marLeft w:val="0"/>
      <w:marRight w:val="0"/>
      <w:marTop w:val="0"/>
      <w:marBottom w:val="0"/>
      <w:divBdr>
        <w:top w:val="none" w:sz="0" w:space="0" w:color="auto"/>
        <w:left w:val="none" w:sz="0" w:space="0" w:color="auto"/>
        <w:bottom w:val="none" w:sz="0" w:space="0" w:color="auto"/>
        <w:right w:val="none" w:sz="0" w:space="0" w:color="auto"/>
      </w:divBdr>
    </w:div>
    <w:div w:id="1505707761">
      <w:bodyDiv w:val="1"/>
      <w:marLeft w:val="0"/>
      <w:marRight w:val="0"/>
      <w:marTop w:val="0"/>
      <w:marBottom w:val="0"/>
      <w:divBdr>
        <w:top w:val="none" w:sz="0" w:space="0" w:color="auto"/>
        <w:left w:val="none" w:sz="0" w:space="0" w:color="auto"/>
        <w:bottom w:val="none" w:sz="0" w:space="0" w:color="auto"/>
        <w:right w:val="none" w:sz="0" w:space="0" w:color="auto"/>
      </w:divBdr>
      <w:divsChild>
        <w:div w:id="256182250">
          <w:marLeft w:val="0"/>
          <w:marRight w:val="0"/>
          <w:marTop w:val="0"/>
          <w:marBottom w:val="0"/>
          <w:divBdr>
            <w:top w:val="none" w:sz="0" w:space="0" w:color="auto"/>
            <w:left w:val="none" w:sz="0" w:space="0" w:color="auto"/>
            <w:bottom w:val="none" w:sz="0" w:space="0" w:color="auto"/>
            <w:right w:val="none" w:sz="0" w:space="0" w:color="auto"/>
          </w:divBdr>
        </w:div>
        <w:div w:id="396898026">
          <w:marLeft w:val="0"/>
          <w:marRight w:val="0"/>
          <w:marTop w:val="0"/>
          <w:marBottom w:val="0"/>
          <w:divBdr>
            <w:top w:val="none" w:sz="0" w:space="0" w:color="auto"/>
            <w:left w:val="none" w:sz="0" w:space="0" w:color="auto"/>
            <w:bottom w:val="none" w:sz="0" w:space="0" w:color="auto"/>
            <w:right w:val="none" w:sz="0" w:space="0" w:color="auto"/>
          </w:divBdr>
          <w:divsChild>
            <w:div w:id="609163500">
              <w:marLeft w:val="0"/>
              <w:marRight w:val="0"/>
              <w:marTop w:val="0"/>
              <w:marBottom w:val="0"/>
              <w:divBdr>
                <w:top w:val="none" w:sz="0" w:space="0" w:color="auto"/>
                <w:left w:val="none" w:sz="0" w:space="0" w:color="auto"/>
                <w:bottom w:val="none" w:sz="0" w:space="0" w:color="auto"/>
                <w:right w:val="none" w:sz="0" w:space="0" w:color="auto"/>
              </w:divBdr>
              <w:divsChild>
                <w:div w:id="1543440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7619205">
      <w:bodyDiv w:val="1"/>
      <w:marLeft w:val="0"/>
      <w:marRight w:val="0"/>
      <w:marTop w:val="0"/>
      <w:marBottom w:val="0"/>
      <w:divBdr>
        <w:top w:val="none" w:sz="0" w:space="0" w:color="auto"/>
        <w:left w:val="none" w:sz="0" w:space="0" w:color="auto"/>
        <w:bottom w:val="none" w:sz="0" w:space="0" w:color="auto"/>
        <w:right w:val="none" w:sz="0" w:space="0" w:color="auto"/>
      </w:divBdr>
    </w:div>
    <w:div w:id="1580212357">
      <w:bodyDiv w:val="1"/>
      <w:marLeft w:val="0"/>
      <w:marRight w:val="0"/>
      <w:marTop w:val="0"/>
      <w:marBottom w:val="0"/>
      <w:divBdr>
        <w:top w:val="none" w:sz="0" w:space="0" w:color="auto"/>
        <w:left w:val="none" w:sz="0" w:space="0" w:color="auto"/>
        <w:bottom w:val="none" w:sz="0" w:space="0" w:color="auto"/>
        <w:right w:val="none" w:sz="0" w:space="0" w:color="auto"/>
      </w:divBdr>
    </w:div>
    <w:div w:id="1598903911">
      <w:bodyDiv w:val="1"/>
      <w:marLeft w:val="0"/>
      <w:marRight w:val="0"/>
      <w:marTop w:val="0"/>
      <w:marBottom w:val="0"/>
      <w:divBdr>
        <w:top w:val="none" w:sz="0" w:space="0" w:color="auto"/>
        <w:left w:val="none" w:sz="0" w:space="0" w:color="auto"/>
        <w:bottom w:val="none" w:sz="0" w:space="0" w:color="auto"/>
        <w:right w:val="none" w:sz="0" w:space="0" w:color="auto"/>
      </w:divBdr>
    </w:div>
    <w:div w:id="1732970213">
      <w:bodyDiv w:val="1"/>
      <w:marLeft w:val="0"/>
      <w:marRight w:val="0"/>
      <w:marTop w:val="0"/>
      <w:marBottom w:val="0"/>
      <w:divBdr>
        <w:top w:val="none" w:sz="0" w:space="0" w:color="auto"/>
        <w:left w:val="none" w:sz="0" w:space="0" w:color="auto"/>
        <w:bottom w:val="none" w:sz="0" w:space="0" w:color="auto"/>
        <w:right w:val="none" w:sz="0" w:space="0" w:color="auto"/>
      </w:divBdr>
    </w:div>
    <w:div w:id="1913999846">
      <w:bodyDiv w:val="1"/>
      <w:marLeft w:val="0"/>
      <w:marRight w:val="0"/>
      <w:marTop w:val="0"/>
      <w:marBottom w:val="0"/>
      <w:divBdr>
        <w:top w:val="none" w:sz="0" w:space="0" w:color="auto"/>
        <w:left w:val="none" w:sz="0" w:space="0" w:color="auto"/>
        <w:bottom w:val="none" w:sz="0" w:space="0" w:color="auto"/>
        <w:right w:val="none" w:sz="0" w:space="0" w:color="auto"/>
      </w:divBdr>
    </w:div>
    <w:div w:id="2018727875">
      <w:bodyDiv w:val="1"/>
      <w:marLeft w:val="0"/>
      <w:marRight w:val="0"/>
      <w:marTop w:val="0"/>
      <w:marBottom w:val="0"/>
      <w:divBdr>
        <w:top w:val="none" w:sz="0" w:space="0" w:color="auto"/>
        <w:left w:val="none" w:sz="0" w:space="0" w:color="auto"/>
        <w:bottom w:val="none" w:sz="0" w:space="0" w:color="auto"/>
        <w:right w:val="none" w:sz="0" w:space="0" w:color="auto"/>
      </w:divBdr>
      <w:divsChild>
        <w:div w:id="737825422">
          <w:marLeft w:val="0"/>
          <w:marRight w:val="0"/>
          <w:marTop w:val="0"/>
          <w:marBottom w:val="0"/>
          <w:divBdr>
            <w:top w:val="none" w:sz="0" w:space="0" w:color="auto"/>
            <w:left w:val="none" w:sz="0" w:space="0" w:color="auto"/>
            <w:bottom w:val="none" w:sz="0" w:space="0" w:color="auto"/>
            <w:right w:val="none" w:sz="0" w:space="0" w:color="auto"/>
          </w:divBdr>
          <w:divsChild>
            <w:div w:id="304550874">
              <w:marLeft w:val="0"/>
              <w:marRight w:val="0"/>
              <w:marTop w:val="0"/>
              <w:marBottom w:val="450"/>
              <w:divBdr>
                <w:top w:val="none" w:sz="0" w:space="0" w:color="auto"/>
                <w:left w:val="none" w:sz="0" w:space="0" w:color="auto"/>
                <w:bottom w:val="none" w:sz="0" w:space="0" w:color="auto"/>
                <w:right w:val="none" w:sz="0" w:space="0" w:color="auto"/>
              </w:divBdr>
              <w:divsChild>
                <w:div w:id="1809199465">
                  <w:marLeft w:val="0"/>
                  <w:marRight w:val="0"/>
                  <w:marTop w:val="0"/>
                  <w:marBottom w:val="0"/>
                  <w:divBdr>
                    <w:top w:val="none" w:sz="0" w:space="0" w:color="auto"/>
                    <w:left w:val="none" w:sz="0" w:space="0" w:color="auto"/>
                    <w:bottom w:val="none" w:sz="0" w:space="0" w:color="auto"/>
                    <w:right w:val="none" w:sz="0" w:space="0" w:color="auto"/>
                  </w:divBdr>
                  <w:divsChild>
                    <w:div w:id="707535403">
                      <w:marLeft w:val="0"/>
                      <w:marRight w:val="0"/>
                      <w:marTop w:val="0"/>
                      <w:marBottom w:val="0"/>
                      <w:divBdr>
                        <w:top w:val="none" w:sz="0" w:space="0" w:color="auto"/>
                        <w:left w:val="none" w:sz="0" w:space="0" w:color="auto"/>
                        <w:bottom w:val="none" w:sz="0" w:space="0" w:color="auto"/>
                        <w:right w:val="none" w:sz="0" w:space="0" w:color="auto"/>
                      </w:divBdr>
                      <w:divsChild>
                        <w:div w:id="681860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7474895">
          <w:marLeft w:val="0"/>
          <w:marRight w:val="0"/>
          <w:marTop w:val="0"/>
          <w:marBottom w:val="0"/>
          <w:divBdr>
            <w:top w:val="none" w:sz="0" w:space="0" w:color="auto"/>
            <w:left w:val="none" w:sz="0" w:space="0" w:color="auto"/>
            <w:bottom w:val="none" w:sz="0" w:space="0" w:color="auto"/>
            <w:right w:val="none" w:sz="0" w:space="0" w:color="auto"/>
          </w:divBdr>
          <w:divsChild>
            <w:div w:id="448547256">
              <w:marLeft w:val="0"/>
              <w:marRight w:val="0"/>
              <w:marTop w:val="0"/>
              <w:marBottom w:val="450"/>
              <w:divBdr>
                <w:top w:val="single" w:sz="6" w:space="0" w:color="E3E3E3"/>
                <w:left w:val="single" w:sz="6" w:space="0" w:color="E3E3E3"/>
                <w:bottom w:val="single" w:sz="6" w:space="0" w:color="E3E3E3"/>
                <w:right w:val="single" w:sz="6" w:space="0" w:color="E3E3E3"/>
              </w:divBdr>
              <w:divsChild>
                <w:div w:id="230624407">
                  <w:marLeft w:val="0"/>
                  <w:marRight w:val="0"/>
                  <w:marTop w:val="225"/>
                  <w:marBottom w:val="225"/>
                  <w:divBdr>
                    <w:top w:val="none" w:sz="0" w:space="0" w:color="auto"/>
                    <w:left w:val="none" w:sz="0" w:space="0" w:color="auto"/>
                    <w:bottom w:val="none" w:sz="0" w:space="0" w:color="auto"/>
                    <w:right w:val="none" w:sz="0" w:space="0" w:color="auto"/>
                  </w:divBdr>
                  <w:divsChild>
                    <w:div w:id="1935815867">
                      <w:marLeft w:val="0"/>
                      <w:marRight w:val="0"/>
                      <w:marTop w:val="0"/>
                      <w:marBottom w:val="0"/>
                      <w:divBdr>
                        <w:top w:val="none" w:sz="0" w:space="0" w:color="auto"/>
                        <w:left w:val="none" w:sz="0" w:space="0" w:color="auto"/>
                        <w:bottom w:val="none" w:sz="0" w:space="0" w:color="auto"/>
                        <w:right w:val="none" w:sz="0" w:space="0" w:color="auto"/>
                      </w:divBdr>
                      <w:divsChild>
                        <w:div w:id="617494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9112540">
      <w:bodyDiv w:val="1"/>
      <w:marLeft w:val="0"/>
      <w:marRight w:val="0"/>
      <w:marTop w:val="0"/>
      <w:marBottom w:val="0"/>
      <w:divBdr>
        <w:top w:val="none" w:sz="0" w:space="0" w:color="auto"/>
        <w:left w:val="none" w:sz="0" w:space="0" w:color="auto"/>
        <w:bottom w:val="none" w:sz="0" w:space="0" w:color="auto"/>
        <w:right w:val="none" w:sz="0" w:space="0" w:color="auto"/>
      </w:divBdr>
    </w:div>
    <w:div w:id="2074236149">
      <w:bodyDiv w:val="1"/>
      <w:marLeft w:val="0"/>
      <w:marRight w:val="0"/>
      <w:marTop w:val="0"/>
      <w:marBottom w:val="0"/>
      <w:divBdr>
        <w:top w:val="none" w:sz="0" w:space="0" w:color="auto"/>
        <w:left w:val="none" w:sz="0" w:space="0" w:color="auto"/>
        <w:bottom w:val="none" w:sz="0" w:space="0" w:color="auto"/>
        <w:right w:val="none" w:sz="0" w:space="0" w:color="auto"/>
      </w:divBdr>
      <w:divsChild>
        <w:div w:id="1241597068">
          <w:marLeft w:val="0"/>
          <w:marRight w:val="0"/>
          <w:marTop w:val="0"/>
          <w:marBottom w:val="0"/>
          <w:divBdr>
            <w:top w:val="none" w:sz="0" w:space="0" w:color="auto"/>
            <w:left w:val="none" w:sz="0" w:space="0" w:color="auto"/>
            <w:bottom w:val="none" w:sz="0" w:space="0" w:color="auto"/>
            <w:right w:val="none" w:sz="0" w:space="0" w:color="auto"/>
          </w:divBdr>
          <w:divsChild>
            <w:div w:id="226036942">
              <w:marLeft w:val="0"/>
              <w:marRight w:val="0"/>
              <w:marTop w:val="0"/>
              <w:marBottom w:val="450"/>
              <w:divBdr>
                <w:top w:val="none" w:sz="0" w:space="0" w:color="auto"/>
                <w:left w:val="none" w:sz="0" w:space="0" w:color="auto"/>
                <w:bottom w:val="none" w:sz="0" w:space="0" w:color="auto"/>
                <w:right w:val="none" w:sz="0" w:space="0" w:color="auto"/>
              </w:divBdr>
              <w:divsChild>
                <w:div w:id="1006519181">
                  <w:marLeft w:val="0"/>
                  <w:marRight w:val="0"/>
                  <w:marTop w:val="0"/>
                  <w:marBottom w:val="0"/>
                  <w:divBdr>
                    <w:top w:val="none" w:sz="0" w:space="0" w:color="auto"/>
                    <w:left w:val="none" w:sz="0" w:space="0" w:color="auto"/>
                    <w:bottom w:val="none" w:sz="0" w:space="0" w:color="auto"/>
                    <w:right w:val="none" w:sz="0" w:space="0" w:color="auto"/>
                  </w:divBdr>
                  <w:divsChild>
                    <w:div w:id="1523856272">
                      <w:marLeft w:val="0"/>
                      <w:marRight w:val="0"/>
                      <w:marTop w:val="0"/>
                      <w:marBottom w:val="0"/>
                      <w:divBdr>
                        <w:top w:val="none" w:sz="0" w:space="0" w:color="auto"/>
                        <w:left w:val="none" w:sz="0" w:space="0" w:color="auto"/>
                        <w:bottom w:val="none" w:sz="0" w:space="0" w:color="auto"/>
                        <w:right w:val="none" w:sz="0" w:space="0" w:color="auto"/>
                      </w:divBdr>
                      <w:divsChild>
                        <w:div w:id="314532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7211624">
          <w:marLeft w:val="0"/>
          <w:marRight w:val="0"/>
          <w:marTop w:val="0"/>
          <w:marBottom w:val="0"/>
          <w:divBdr>
            <w:top w:val="none" w:sz="0" w:space="0" w:color="auto"/>
            <w:left w:val="none" w:sz="0" w:space="0" w:color="auto"/>
            <w:bottom w:val="none" w:sz="0" w:space="0" w:color="auto"/>
            <w:right w:val="none" w:sz="0" w:space="0" w:color="auto"/>
          </w:divBdr>
          <w:divsChild>
            <w:div w:id="652880693">
              <w:marLeft w:val="0"/>
              <w:marRight w:val="0"/>
              <w:marTop w:val="0"/>
              <w:marBottom w:val="450"/>
              <w:divBdr>
                <w:top w:val="single" w:sz="6" w:space="0" w:color="E3E3E3"/>
                <w:left w:val="single" w:sz="6" w:space="0" w:color="E3E3E3"/>
                <w:bottom w:val="single" w:sz="6" w:space="0" w:color="E3E3E3"/>
                <w:right w:val="single" w:sz="6" w:space="0" w:color="E3E3E3"/>
              </w:divBdr>
              <w:divsChild>
                <w:div w:id="756827419">
                  <w:marLeft w:val="0"/>
                  <w:marRight w:val="0"/>
                  <w:marTop w:val="225"/>
                  <w:marBottom w:val="225"/>
                  <w:divBdr>
                    <w:top w:val="none" w:sz="0" w:space="0" w:color="auto"/>
                    <w:left w:val="none" w:sz="0" w:space="0" w:color="auto"/>
                    <w:bottom w:val="none" w:sz="0" w:space="0" w:color="auto"/>
                    <w:right w:val="none" w:sz="0" w:space="0" w:color="auto"/>
                  </w:divBdr>
                  <w:divsChild>
                    <w:div w:id="1308363598">
                      <w:marLeft w:val="0"/>
                      <w:marRight w:val="0"/>
                      <w:marTop w:val="0"/>
                      <w:marBottom w:val="0"/>
                      <w:divBdr>
                        <w:top w:val="none" w:sz="0" w:space="0" w:color="auto"/>
                        <w:left w:val="none" w:sz="0" w:space="0" w:color="auto"/>
                        <w:bottom w:val="none" w:sz="0" w:space="0" w:color="auto"/>
                        <w:right w:val="none" w:sz="0" w:space="0" w:color="auto"/>
                      </w:divBdr>
                      <w:divsChild>
                        <w:div w:id="1465124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74311283">
      <w:bodyDiv w:val="1"/>
      <w:marLeft w:val="0"/>
      <w:marRight w:val="0"/>
      <w:marTop w:val="0"/>
      <w:marBottom w:val="0"/>
      <w:divBdr>
        <w:top w:val="none" w:sz="0" w:space="0" w:color="auto"/>
        <w:left w:val="none" w:sz="0" w:space="0" w:color="auto"/>
        <w:bottom w:val="none" w:sz="0" w:space="0" w:color="auto"/>
        <w:right w:val="none" w:sz="0" w:space="0" w:color="auto"/>
      </w:divBdr>
      <w:divsChild>
        <w:div w:id="1637563563">
          <w:marLeft w:val="0"/>
          <w:marRight w:val="0"/>
          <w:marTop w:val="0"/>
          <w:marBottom w:val="0"/>
          <w:divBdr>
            <w:top w:val="none" w:sz="0" w:space="0" w:color="auto"/>
            <w:left w:val="none" w:sz="0" w:space="0" w:color="auto"/>
            <w:bottom w:val="none" w:sz="0" w:space="0" w:color="auto"/>
            <w:right w:val="none" w:sz="0" w:space="0" w:color="auto"/>
          </w:divBdr>
          <w:divsChild>
            <w:div w:id="946156316">
              <w:marLeft w:val="0"/>
              <w:marRight w:val="0"/>
              <w:marTop w:val="0"/>
              <w:marBottom w:val="0"/>
              <w:divBdr>
                <w:top w:val="none" w:sz="0" w:space="0" w:color="auto"/>
                <w:left w:val="none" w:sz="0" w:space="0" w:color="auto"/>
                <w:bottom w:val="none" w:sz="0" w:space="0" w:color="auto"/>
                <w:right w:val="none" w:sz="0" w:space="0" w:color="auto"/>
              </w:divBdr>
              <w:divsChild>
                <w:div w:id="841745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6974165">
      <w:bodyDiv w:val="1"/>
      <w:marLeft w:val="0"/>
      <w:marRight w:val="0"/>
      <w:marTop w:val="0"/>
      <w:marBottom w:val="0"/>
      <w:divBdr>
        <w:top w:val="none" w:sz="0" w:space="0" w:color="auto"/>
        <w:left w:val="none" w:sz="0" w:space="0" w:color="auto"/>
        <w:bottom w:val="none" w:sz="0" w:space="0" w:color="auto"/>
        <w:right w:val="none" w:sz="0" w:space="0" w:color="auto"/>
      </w:divBdr>
      <w:divsChild>
        <w:div w:id="605773604">
          <w:marLeft w:val="0"/>
          <w:marRight w:val="0"/>
          <w:marTop w:val="0"/>
          <w:marBottom w:val="0"/>
          <w:divBdr>
            <w:top w:val="none" w:sz="0" w:space="0" w:color="auto"/>
            <w:left w:val="none" w:sz="0" w:space="0" w:color="auto"/>
            <w:bottom w:val="none" w:sz="0" w:space="0" w:color="auto"/>
            <w:right w:val="none" w:sz="0" w:space="0" w:color="auto"/>
          </w:divBdr>
          <w:divsChild>
            <w:div w:id="685057341">
              <w:marLeft w:val="0"/>
              <w:marRight w:val="0"/>
              <w:marTop w:val="0"/>
              <w:marBottom w:val="0"/>
              <w:divBdr>
                <w:top w:val="none" w:sz="0" w:space="0" w:color="auto"/>
                <w:left w:val="none" w:sz="0" w:space="0" w:color="auto"/>
                <w:bottom w:val="none" w:sz="0" w:space="0" w:color="auto"/>
                <w:right w:val="none" w:sz="0" w:space="0" w:color="auto"/>
              </w:divBdr>
              <w:divsChild>
                <w:div w:id="1904675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51550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3.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DA66E2C98F8EC4EBD3EF672627807B4" ma:contentTypeVersion="13" ma:contentTypeDescription="Create a new document." ma:contentTypeScope="" ma:versionID="96a67a4230d71313b44225a2993a857e">
  <xsd:schema xmlns:xsd="http://www.w3.org/2001/XMLSchema" xmlns:xs="http://www.w3.org/2001/XMLSchema" xmlns:p="http://schemas.microsoft.com/office/2006/metadata/properties" xmlns:ns3="9eb583d8-5dba-443b-bbcf-0a96e144d5d2" xmlns:ns4="c5394202-9881-434c-8117-97c1d114fe55" targetNamespace="http://schemas.microsoft.com/office/2006/metadata/properties" ma:root="true" ma:fieldsID="1d22e0e34f9d9a22abdf80a4a633c6db" ns3:_="" ns4:_="">
    <xsd:import namespace="9eb583d8-5dba-443b-bbcf-0a96e144d5d2"/>
    <xsd:import namespace="c5394202-9881-434c-8117-97c1d114fe55"/>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element ref="ns3:MediaLengthInSeconds" minOccurs="0"/>
                <xsd:element ref="ns3:MediaServiceObjectDetectorVersions" minOccurs="0"/>
                <xsd:element ref="ns3:MediaServiceSearchPropertie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b583d8-5dba-443b-bbcf-0a96e144d5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SystemTags" ma:index="20"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5394202-9881-434c-8117-97c1d114fe5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go:gDocsCustomXmlDataStorage xmlns:go="http://customooxmlschemas.google.com/" xmlns:r="http://schemas.openxmlformats.org/officeDocument/2006/relationships">
  <go:docsCustomData xmlns:go="http://customooxmlschemas.google.com/" roundtripDataSignature="AMtx7mji2DJUVgx51OyztsRNo+zaKhVNjw==">AMUW2mVXftGpHCb775zpDPuBEQFvPZ86qERqjT8zdIC7me+8wFfjd+tVMSQTtm1aCGZ65mgN0Gz10Q5ycXYWgOlzhT9FX/4uh1KGhoSpCoV1+IW62sGWAPI=</go:docsCustomData>
</go:gDocsCustomXmlDataStorage>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507F48-A5E6-4ABE-ADBF-E845A2A877DA}">
  <ds:schemaRefs>
    <ds:schemaRef ds:uri="http://schemas.microsoft.com/sharepoint/v3/contenttype/forms"/>
  </ds:schemaRefs>
</ds:datastoreItem>
</file>

<file path=customXml/itemProps2.xml><?xml version="1.0" encoding="utf-8"?>
<ds:datastoreItem xmlns:ds="http://schemas.openxmlformats.org/officeDocument/2006/customXml" ds:itemID="{E8CF8632-C5D6-4C28-A30D-37D5A591BE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b583d8-5dba-443b-bbcf-0a96e144d5d2"/>
    <ds:schemaRef ds:uri="c5394202-9881-434c-8117-97c1d114fe5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1ADA5078-CA9C-471A-8886-C6F6B7F412B9}">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A789FD0A-0C46-4AEB-8EF4-5A69B7DF20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TotalTime>
  <Pages>2</Pages>
  <Words>1131</Words>
  <Characters>6448</Characters>
  <Application>Microsoft Office Word</Application>
  <DocSecurity>0</DocSecurity>
  <Lines>53</Lines>
  <Paragraphs>15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Federica Crippa</dc:creator>
  <cp:lastModifiedBy>Martina Cerea</cp:lastModifiedBy>
  <cp:revision>14</cp:revision>
  <cp:lastPrinted>2025-02-27T11:12:00Z</cp:lastPrinted>
  <dcterms:created xsi:type="dcterms:W3CDTF">2026-04-20T11:06:00Z</dcterms:created>
  <dcterms:modified xsi:type="dcterms:W3CDTF">2026-04-21T15:20:00Z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0x010100CDA66E2C98F8EC4EBD3EF672627807B4</vt:lpwstr>
  </property>
</Properties>
</file>